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pPr>
      <w:r>
        <w:t xml:space="preserve">Step into a cave from your browser</w:t>
      </w:r>
    </w:p>
    <w:p>
      <w:pPr>
        <w:spacing w:after="280"/>
      </w:pPr>
      <w:r>
        <w:rPr>
          <w:i/>
          <w:iCs/>
        </w:rPr>
        <w:t xml:space="preserve">How smartphone LiDAR is changing cave surveying, and why sharing the results online is still an unsolved problem.</w:t>
      </w:r>
    </w:p>
    <w:p>
      <w:pPr>
        <w:pStyle w:val="Heading2"/>
        <w:spacing w:after="140" w:before="320"/>
      </w:pPr>
      <w:r>
        <w:t xml:space="preserve">From professional scanners to a smartphone in your pocket</w:t>
      </w:r>
    </w:p>
    <w:p>
      <w:pPr>
        <w:spacing w:after="200"/>
      </w:pPr>
      <w:r>
        <w:rPr>
          <w:b w:val="false"/>
          <w:bCs w:val="false"/>
          <w:i w:val="false"/>
          <w:iCs w:val="false"/>
        </w:rPr>
        <w:t xml:space="preserve">Anyone who does cave surveying knows the trade-off between quality and accessibility well. A professional terrestrial laser scanner delivers millimetre precision and a range of tens of metres, but costs tens of thousands of euros and is simply too bulky for some tight passages. Since 2020, starting with the iPhone 12 Pro, Apple has built a LiDAR sensor into its higher-end devices, and in recent years caving groups and researchers have started using it to survey caves and artificial cavities with apps like Scaniverse or Polycam.</w:t>
      </w:r>
    </w:p>
    <w:p>
      <w:pPr>
        <w:spacing w:after="200"/>
      </w:pPr>
      <w:r>
        <w:rPr>
          <w:b w:val="false"/>
          <w:bCs w:val="false"/>
          <w:i w:val="false"/>
          <w:iCs w:val="false"/>
        </w:rPr>
        <w:t xml:space="preserve">The advantage isn't only financial. A smartphone in a rugged case fits where a tripod cannot, needs only one person to capture, and gives an on-the-spot 3D preview of the cavity. In Italy the trend is now well established: dedicated courses and workshops keep multiplying among caving groups and the technical committees of the Società Speleologica Italiana, a sign that smartphone LiDAR surveying has become a shared working method rather than a technological curiosity.</w:t>
      </w:r>
    </w:p>
    <w:p>
      <w:pPr>
        <w:pStyle w:val="Heading2"/>
        <w:spacing w:after="140" w:before="320"/>
      </w:pPr>
      <w:r>
        <w:t xml:space="preserve">An affordable tool, not a substitute</w:t>
      </w:r>
    </w:p>
    <w:p>
      <w:pPr>
        <w:spacing w:after="200"/>
      </w:pPr>
      <w:r>
        <w:rPr>
          <w:b w:val="false"/>
          <w:bCs w:val="false"/>
          <w:i w:val="false"/>
          <w:iCs w:val="false"/>
        </w:rPr>
        <w:t xml:space="preserve">Smartphone LiDAR does not replace a professional scanner, and the scientific community has measured this clearly. A comparison published in 2025 in the Journal of Archaeological Science, carried out in a Spanish cave with an iPhone and a reference Leica scanner, found that the mobile device reproduces the cavity's surface with an average deviation of only a few centimetres from the professional instrument, but has a useful range limited to about five metres, against the tens of metres of a terrestrial scanner.</w:t>
      </w:r>
    </w:p>
    <w:p>
      <w:pPr>
        <w:spacing w:after="200"/>
      </w:pPr>
      <w:r>
        <w:rPr>
          <w:b w:val="false"/>
          <w:bCs w:val="false"/>
          <w:i w:val="false"/>
          <w:iCs w:val="false"/>
        </w:rPr>
        <w:t xml:space="preserve">The study's authors, however, do not dismiss smartphone LiDAR as a compromise: they see it as an effective complement, particularly valuable for its manoeuvrability in tight passages and for the quality of the photographic textures it produces, which surpasses many professional scanners on that front. The message from the research is therefore a pragmatic one: for work requiring maximum precision, structural monitoring or very large cavities, a professional instrument is still needed; for quick documentation, education and outreach, a smartphone is more than sufficient, and within reach of any caving group, even the smallest.</w:t>
      </w:r>
    </w:p>
    <w:p>
      <w:pPr>
        <w:pStyle w:val="Heading2"/>
        <w:spacing w:after="140" w:before="320"/>
      </w:pPr>
      <w:r>
        <w:t xml:space="preserve">The problem no one was talking about: sharing the surveys</w:t>
      </w:r>
    </w:p>
    <w:p>
      <w:pPr>
        <w:spacing w:after="200"/>
      </w:pPr>
      <w:r>
        <w:rPr>
          <w:b w:val="false"/>
          <w:bCs w:val="false"/>
          <w:i w:val="false"/>
          <w:iCs w:val="false"/>
        </w:rPr>
        <w:t xml:space="preserve">If capturing a 3D model of a cave is now relatively straightforward, a less-discussed but equally relevant question remains open: how do you show it to someone who isn't a caver, or even to another group? The solutions available today partly address this need, but each comes with a trade-off.</w:t>
      </w:r>
    </w:p>
    <w:p>
      <w:pPr>
        <w:spacing w:after="200"/>
      </w:pPr>
      <w:r>
        <w:rPr>
          <w:b w:val="false"/>
          <w:bCs w:val="false"/>
          <w:i w:val="false"/>
          <w:iCs w:val="false"/>
        </w:rPr>
        <w:t xml:space="preserve">Platforms like Sketchfab let you publish 3D models that can be browsed from a web browser, but they are commercial third-party services: free tiers impose upload and file-size limits, while more advanced features require a subscription. Solutions like Matterport offer very polished virtual tours, adopted even by some show caves, but require dedicated hardware and subscriptions and remain geared towards guided visits rather than technical analysis. Point-cloud viewers like Potree offer measurement tools but require technical skills to put online, while software dedicated to vector cave survey data remains valuable for analysis but poorly suited to reaching a general audience.</w:t>
      </w:r>
    </w:p>
    <w:p>
      <w:pPr>
        <w:spacing w:after="200"/>
      </w:pPr>
      <w:r>
        <w:rPr>
          <w:b w:val="false"/>
          <w:bCs w:val="false"/>
          <w:i w:val="false"/>
          <w:iCs w:val="false"/>
        </w:rPr>
        <w:t xml:space="preserve">What these solutions share is a set of limitations: dependence on commercial platforms with costs and constraints, the absence of a true immersive virtual reality mode, the lack of built-in measurement and section tools, weak georeferencing relative to the cave's real position, and files often too heavy to consult comfortably from a field connection or on the move.</w:t>
      </w:r>
    </w:p>
    <w:p>
      <w:pPr>
        <w:pStyle w:val="Heading2"/>
        <w:spacing w:after="140" w:before="320"/>
      </w:pPr>
      <w:r>
        <w:t xml:space="preserve">3D Cave Viewer: a different approach</w:t>
      </w:r>
    </w:p>
    <w:p>
      <w:pPr>
        <w:spacing w:after="200"/>
      </w:pPr>
      <w:r>
        <w:rPr>
          <w:b w:val="false"/>
          <w:bCs w:val="false"/>
          <w:i w:val="false"/>
          <w:iCs w:val="false"/>
        </w:rPr>
        <w:t xml:space="preserve">3D Cave Viewer was born from this gap. It is not a service to rely on, but an open source web application that any caving group can install on its own hosting and use under its own name. It requires no installation from whoever consults it: it opens from a geolocated map of published caves and, with one click, loads the 3D model.</w:t>
      </w:r>
    </w:p>
    <w:p>
      <w:pPr>
        <w:spacing w:after="200"/>
      </w:pPr>
      <w:r>
        <w:rPr>
          <w:b w:val="false"/>
          <w:bCs w:val="false"/>
          <w:i w:val="false"/>
          <w:iCs w:val="false"/>
        </w:rPr>
        <w:t xml:space="preserve">Exploration is designed around three increasing levels of immersion. Orbit mode lets you rotate and observe the cave from outside, as you would with a physical scale model. First-person mode takes you literally inside the cave, with a collision-detection system that prevents you from walking through walls and conveys the real sense of the space. Virtual reality mode, for anyone with a WebXR-compatible headset, lets you move through the cave at 1:1 scale, with a teleport system for quick movement and a comfort vignette that reduces the risk of motion sickness.</w:t>
      </w:r>
    </w:p>
    <w:p>
      <w:pPr>
        <w:spacing w:after="200"/>
      </w:pPr>
      <w:r>
        <w:rPr>
          <w:b w:val="false"/>
          <w:bCs w:val="false"/>
          <w:i w:val="false"/>
          <w:iCs w:val="false"/>
        </w:rPr>
        <w:t xml:space="preserve">Alongside exploration, the viewer provides tools built for people who work in the field: 3D measurements with automatic snapping to the mesh's vertices, exportable as CSV; clipping planes along the three axes to observe the cave's internal structure; annotations with descriptive labels, saved and exportable as JSON. The application also works offline once a model has been downloaded, thanks to Progressive Web App technology — a valuable feature in mountain areas where network coverage is patchy or absent. The interface is available in Italian, English, French and Spanish.</w:t>
      </w:r>
    </w:p>
    <w:p>
      <w:pPr>
        <w:spacing w:after="200"/>
      </w:pPr>
      <w:r>
        <w:rPr>
          <w:b w:val="false"/>
          <w:bCs w:val="false"/>
          <w:i w:val="false"/>
          <w:iCs w:val="false"/>
        </w:rPr>
        <w:t xml:space="preserve">The most significant technical choice, though, concerns the licence. The code is released under the GNU GPL v3: any caving group, CAI section or institution can adopt it for free, customise it with their own name, colours and text, and publish their own surveys without relying on paid professional tools, with the sole obligation of crediting the original author. The backend, written in PHP with no framework and no build step, is designed to run on ordinary, inexpensive hosting and to be maintainable even by groups without a dedicated development team.</w:t>
      </w:r>
    </w:p>
    <w:p>
      <w:pPr>
        <w:pStyle w:val="Heading2"/>
        <w:spacing w:after="140" w:before="320"/>
      </w:pPr>
      <w:r>
        <w:t xml:space="preserve">Who it is for</w:t>
      </w:r>
    </w:p>
    <w:p>
      <w:pPr>
        <w:pStyle w:val="ListParagraph"/>
        <w:numPr>
          <w:ilvl w:val="0"/>
          <w:numId w:val="2"/>
        </w:numPr>
        <w:spacing w:after="120"/>
      </w:pPr>
      <w:r>
        <w:t xml:space="preserve">Caving groups and CAI sections, to archive and share their surveys with a simple link, and to reuse the platform under their own name.</w:t>
      </w:r>
    </w:p>
    <w:p>
      <w:pPr>
        <w:pStyle w:val="ListParagraph"/>
        <w:numPr>
          <w:ilvl w:val="0"/>
          <w:numId w:val="2"/>
        </w:numPr>
        <w:spacing w:after="120"/>
      </w:pPr>
      <w:r>
        <w:t xml:space="preserve">Researchers and geologists, to study morphology and produce measurements and sections without specialist CAD software.</w:t>
      </w:r>
    </w:p>
    <w:p>
      <w:pPr>
        <w:pStyle w:val="ListParagraph"/>
        <w:numPr>
          <w:ilvl w:val="0"/>
          <w:numId w:val="2"/>
        </w:numPr>
        <w:spacing w:after="120"/>
      </w:pPr>
      <w:r>
        <w:t xml:space="preserve">Schools and outreach programmes, to take students and the public inside a cave, VR included, with no risk and no equipment.</w:t>
      </w:r>
    </w:p>
    <w:p>
      <w:pPr>
        <w:pStyle w:val="ListParagraph"/>
        <w:numPr>
          <w:ilvl w:val="0"/>
          <w:numId w:val="2"/>
        </w:numPr>
        <w:spacing w:after="120"/>
      </w:pPr>
      <w:r>
        <w:t xml:space="preserve">Press and communication, to tell the story of an exploration with images, shareable links and social previews generated automatically by the application.</w:t>
      </w:r>
    </w:p>
    <w:p>
      <w:pPr>
        <w:spacing w:after="200"/>
      </w:pPr>
      <w:r>
        <w:rPr>
          <w:b w:val="false"/>
          <w:bCs w:val="false"/>
          <w:i w:val="false"/>
          <w:iCs w:val="false"/>
        </w:rPr>
        <w:t xml:space="preserve">3D Cave Viewer will be publicly presented at the caving gathering in Costacciaro in November 2026, when the source code becomes accessible to everyone on GitHub. Until then the project can be explored on the official website 3dcaveviewer.com, where a few caves from the Gubbio area are already open for demonstration purposes.</w:t>
      </w:r>
    </w:p>
    <w:p>
      <w:pPr>
        <w:pStyle w:val="Heading3"/>
        <w:spacing w:after="80" w:before="120"/>
      </w:pPr>
      <w:r>
        <w:t xml:space="preserve">The project in numbers</w:t>
      </w:r>
    </w:p>
    <w:tbl>
      <w:tblPr>
        <w:tblW w:type="dxa" w:w="9160"/>
        <w:tblBorders>
          <w:top w:val="single" w:color="auto" w:sz="4"/>
          <w:left w:val="single" w:color="auto" w:sz="4"/>
          <w:bottom w:val="single" w:color="auto" w:sz="4"/>
          <w:right w:val="single" w:color="auto" w:sz="4"/>
          <w:insideH w:val="single" w:color="auto" w:sz="4"/>
          <w:insideV w:val="single" w:color="auto" w:sz="4"/>
        </w:tblBorders>
      </w:tblPr>
      <w:tblGrid>
        <w:gridCol w:w="1400"/>
        <w:gridCol w:w="7760"/>
      </w:tblGrid>
      <w:tr>
        <w:tc>
          <w:tcPr>
            <w:tcW w:type="dxa" w:w="1400"/>
            <w:shd w:fill="EDEFEF" w:color="auto" w:val="clear"/>
            <w:tcMar>
              <w:top w:type="dxa" w:w="80"/>
              <w:left w:type="dxa" w:w="100"/>
              <w:bottom w:type="dxa" w:w="80"/>
              <w:right w:type="dxa" w:w="100"/>
            </w:tcMar>
          </w:tcPr>
          <w:p>
            <w:r>
              <w:rPr>
                <w:b/>
                <w:bCs/>
              </w:rPr>
              <w:t xml:space="preserve">3</w:t>
            </w:r>
          </w:p>
        </w:tc>
        <w:tc>
          <w:tcPr>
            <w:tcW w:type="dxa" w:w="7760"/>
            <w:tcMar>
              <w:top w:type="dxa" w:w="80"/>
              <w:left w:type="dxa" w:w="100"/>
              <w:bottom w:type="dxa" w:w="80"/>
              <w:right w:type="dxa" w:w="100"/>
            </w:tcMar>
          </w:tcPr>
          <w:p>
            <w:r>
              <w:rPr>
                <w:b w:val="false"/>
                <w:bCs w:val="false"/>
              </w:rPr>
              <w:t xml:space="preserve">exploration modes: orbit, first person, virtual reality</w:t>
            </w:r>
          </w:p>
        </w:tc>
      </w:tr>
      <w:tr>
        <w:tc>
          <w:tcPr>
            <w:tcW w:type="dxa" w:w="1400"/>
            <w:shd w:fill="EDEFEF" w:color="auto" w:val="clear"/>
            <w:tcMar>
              <w:top w:type="dxa" w:w="80"/>
              <w:left w:type="dxa" w:w="100"/>
              <w:bottom w:type="dxa" w:w="80"/>
              <w:right w:type="dxa" w:w="100"/>
            </w:tcMar>
          </w:tcPr>
          <w:p>
            <w:r>
              <w:rPr>
                <w:b/>
                <w:bCs/>
              </w:rPr>
              <w:t xml:space="preserve">4</w:t>
            </w:r>
          </w:p>
        </w:tc>
        <w:tc>
          <w:tcPr>
            <w:tcW w:type="dxa" w:w="7760"/>
            <w:tcMar>
              <w:top w:type="dxa" w:w="80"/>
              <w:left w:type="dxa" w:w="100"/>
              <w:bottom w:type="dxa" w:w="80"/>
              <w:right w:type="dxa" w:w="100"/>
            </w:tcMar>
          </w:tcPr>
          <w:p>
            <w:r>
              <w:rPr>
                <w:b w:val="false"/>
                <w:bCs w:val="false"/>
              </w:rPr>
              <w:t xml:space="preserve">interface languages: Italian, English, French, Spanish</w:t>
            </w:r>
          </w:p>
        </w:tc>
      </w:tr>
      <w:tr>
        <w:tc>
          <w:tcPr>
            <w:tcW w:type="dxa" w:w="1400"/>
            <w:shd w:fill="EDEFEF" w:color="auto" w:val="clear"/>
            <w:tcMar>
              <w:top w:type="dxa" w:w="80"/>
              <w:left w:type="dxa" w:w="100"/>
              <w:bottom w:type="dxa" w:w="80"/>
              <w:right w:type="dxa" w:w="100"/>
            </w:tcMar>
          </w:tcPr>
          <w:p>
            <w:r>
              <w:rPr>
                <w:b/>
                <w:bCs/>
              </w:rPr>
              <w:t xml:space="preserve">6</w:t>
            </w:r>
          </w:p>
        </w:tc>
        <w:tc>
          <w:tcPr>
            <w:tcW w:type="dxa" w:w="7760"/>
            <w:tcMar>
              <w:top w:type="dxa" w:w="80"/>
              <w:left w:type="dxa" w:w="100"/>
              <w:bottom w:type="dxa" w:w="80"/>
              <w:right w:type="dxa" w:w="100"/>
            </w:tcMar>
          </w:tcPr>
          <w:p>
            <w:r>
              <w:rPr>
                <w:b w:val="false"/>
                <w:bCs w:val="false"/>
              </w:rPr>
              <w:t xml:space="preserve">preset orthogonal views of the model</w:t>
            </w:r>
          </w:p>
        </w:tc>
      </w:tr>
      <w:tr>
        <w:tc>
          <w:tcPr>
            <w:tcW w:type="dxa" w:w="1400"/>
            <w:shd w:fill="EDEFEF" w:color="auto" w:val="clear"/>
            <w:tcMar>
              <w:top w:type="dxa" w:w="80"/>
              <w:left w:type="dxa" w:w="100"/>
              <w:bottom w:type="dxa" w:w="80"/>
              <w:right w:type="dxa" w:w="100"/>
            </w:tcMar>
          </w:tcPr>
          <w:p>
            <w:r>
              <w:rPr>
                <w:b/>
                <w:bCs/>
              </w:rPr>
              <w:t xml:space="preserve">3</w:t>
            </w:r>
          </w:p>
        </w:tc>
        <w:tc>
          <w:tcPr>
            <w:tcW w:type="dxa" w:w="7760"/>
            <w:tcMar>
              <w:top w:type="dxa" w:w="80"/>
              <w:left w:type="dxa" w:w="100"/>
              <w:bottom w:type="dxa" w:w="80"/>
              <w:right w:type="dxa" w:w="100"/>
            </w:tcMar>
          </w:tcPr>
          <w:p>
            <w:r>
              <w:rPr>
                <w:b w:val="false"/>
                <w:bCs w:val="false"/>
              </w:rPr>
              <w:t xml:space="preserve">supported 3D formats: GLB, GLTF, OBJ</w:t>
            </w:r>
          </w:p>
        </w:tc>
      </w:tr>
      <w:tr>
        <w:tc>
          <w:tcPr>
            <w:tcW w:type="dxa" w:w="1400"/>
            <w:shd w:fill="EDEFEF" w:color="auto" w:val="clear"/>
            <w:tcMar>
              <w:top w:type="dxa" w:w="80"/>
              <w:left w:type="dxa" w:w="100"/>
              <w:bottom w:type="dxa" w:w="80"/>
              <w:right w:type="dxa" w:w="100"/>
            </w:tcMar>
          </w:tcPr>
          <w:p>
            <w:r>
              <w:rPr>
                <w:b/>
                <w:bCs/>
              </w:rPr>
              <w:t xml:space="preserve">0</w:t>
            </w:r>
          </w:p>
        </w:tc>
        <w:tc>
          <w:tcPr>
            <w:tcW w:type="dxa" w:w="7760"/>
            <w:tcMar>
              <w:top w:type="dxa" w:w="80"/>
              <w:left w:type="dxa" w:w="100"/>
              <w:bottom w:type="dxa" w:w="80"/>
              <w:right w:type="dxa" w:w="100"/>
            </w:tcMar>
          </w:tcPr>
          <w:p>
            <w:r>
              <w:rPr>
                <w:b w:val="false"/>
                <w:bCs w:val="false"/>
              </w:rPr>
              <w:t xml:space="preserve">installations required to use it</w:t>
            </w:r>
          </w:p>
        </w:tc>
      </w:tr>
      <w:tr>
        <w:tc>
          <w:tcPr>
            <w:tcW w:type="dxa" w:w="1400"/>
            <w:shd w:fill="EDEFEF" w:color="auto" w:val="clear"/>
            <w:tcMar>
              <w:top w:type="dxa" w:w="80"/>
              <w:left w:type="dxa" w:w="100"/>
              <w:bottom w:type="dxa" w:w="80"/>
              <w:right w:type="dxa" w:w="100"/>
            </w:tcMar>
          </w:tcPr>
          <w:p>
            <w:r>
              <w:rPr>
                <w:b/>
                <w:bCs/>
              </w:rPr>
              <w:t xml:space="preserve">100%</w:t>
            </w:r>
          </w:p>
        </w:tc>
        <w:tc>
          <w:tcPr>
            <w:tcW w:type="dxa" w:w="7760"/>
            <w:tcMar>
              <w:top w:type="dxa" w:w="80"/>
              <w:left w:type="dxa" w:w="100"/>
              <w:bottom w:type="dxa" w:w="80"/>
              <w:right w:type="dxa" w:w="100"/>
            </w:tcMar>
          </w:tcPr>
          <w:p>
            <w:r>
              <w:rPr>
                <w:b w:val="false"/>
                <w:bCs w:val="false"/>
              </w:rPr>
              <w:t xml:space="preserve">open source code, GNU GPL v3 licence</w:t>
            </w:r>
          </w:p>
        </w:tc>
      </w:tr>
    </w:tbl>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5"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2026-07-27T21:16:40.455Z</dcterms:created>
  <dcterms:modified xsi:type="dcterms:W3CDTF">2026-07-27T21:16:40.455Z</dcterms:modified>
</cp:coreProperties>
</file>

<file path=docProps/custom.xml><?xml version="1.0" encoding="utf-8"?>
<Properties xmlns="http://schemas.openxmlformats.org/officeDocument/2006/custom-properties" xmlns:vt="http://schemas.openxmlformats.org/officeDocument/2006/docPropsVTypes"/>
</file>