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pPr>
      <w:r>
        <w:t xml:space="preserve">Entrar en una cueva desde el navegador</w:t>
      </w:r>
    </w:p>
    <w:p>
      <w:pPr>
        <w:spacing w:after="280"/>
      </w:pPr>
      <w:r>
        <w:rPr>
          <w:i/>
          <w:iCs/>
        </w:rPr>
        <w:t xml:space="preserve">Cómo el LiDAR de los smartphones está cambiando el levantamiento espeleológico, y por qué compartirlo en línea sigue siendo un problema sin resolver.</w:t>
      </w:r>
    </w:p>
    <w:p>
      <w:pPr>
        <w:pStyle w:val="Heading2"/>
        <w:spacing w:after="140" w:before="320"/>
      </w:pPr>
      <w:r>
        <w:t xml:space="preserve">De los escáneres profesionales a un smartphone en el bolsillo</w:t>
      </w:r>
    </w:p>
    <w:p>
      <w:pPr>
        <w:spacing w:after="200"/>
      </w:pPr>
      <w:r>
        <w:rPr>
          <w:b w:val="false"/>
          <w:bCs w:val="false"/>
          <w:i w:val="false"/>
          <w:iCs w:val="false"/>
        </w:rPr>
        <w:t xml:space="preserve">Quien se dedica al levantamiento espeleológico conoce bien el compromiso entre calidad y accesibilidad de las herramientas. Un escáner láser terrestre profesional garantiza una precisión milimétrica y un alcance de decenas de metros, pero tiene un coste que se mide en decenas de miles de euros y un tamaño que en ciertos pasos estrechos resulta simplemente impracticable. Desde 2020, con el iPhone 12 Pro, Apple integró un sensor LiDAR en sus dispositivos de gama alta, y en los últimos años grupos espeleológicos e investigadores han empezado a usarlo para levantar cuevas y cavidades artificiales con apps como Scaniverse o Polycam.</w:t>
      </w:r>
    </w:p>
    <w:p>
      <w:pPr>
        <w:spacing w:after="200"/>
      </w:pPr>
      <w:r>
        <w:rPr>
          <w:b w:val="false"/>
          <w:bCs w:val="false"/>
          <w:i w:val="false"/>
          <w:iCs w:val="false"/>
        </w:rPr>
        <w:t xml:space="preserve">La ventaja no es solo económica. Un smartphone protegido por una funda resistente pasa por donde un trípode no llega, requiere una sola persona para la captura y devuelve, ya en el lugar, una vista previa tridimensional de la cavidad. En Italia el fenómeno está ya consolidado: los cursos y talleres dedicados se multiplican entre los grupos espeleológicos y las comisiones técnicas de la Società Speleologica Italiana, señal de que el levantamiento con LiDAR desde el smartphone se ha convertido en un lenguaje de trabajo compartido, y ya no en una curiosidad tecnológica.</w:t>
      </w:r>
    </w:p>
    <w:p>
      <w:pPr>
        <w:pStyle w:val="Heading2"/>
        <w:spacing w:after="140" w:before="320"/>
      </w:pPr>
      <w:r>
        <w:t xml:space="preserve">Una herramienta económica, no un sustituto</w:t>
      </w:r>
    </w:p>
    <w:p>
      <w:pPr>
        <w:spacing w:after="200"/>
      </w:pPr>
      <w:r>
        <w:rPr>
          <w:b w:val="false"/>
          <w:bCs w:val="false"/>
          <w:i w:val="false"/>
          <w:iCs w:val="false"/>
        </w:rPr>
        <w:t xml:space="preserve">El LiDAR de un smartphone no sustituye a un escáner profesional, y la comunidad científica lo ha medido con claridad. Una comparación publicada en 2025 en el Journal of Archaeological Science, realizada en una cueva española con un iPhone y un escáner Leica de referencia, encontró que el dispositivo móvil reproduce la superficie de la cavidad con una desviación media de pocos centímetros respecto al instrumento profesional, pero con un alcance útil limitado a unos cinco metros, frente a las decenas de metros de un escáner terrestre.</w:t>
      </w:r>
    </w:p>
    <w:p>
      <w:pPr>
        <w:spacing w:after="200"/>
      </w:pPr>
      <w:r>
        <w:rPr>
          <w:b w:val="false"/>
          <w:bCs w:val="false"/>
          <w:i w:val="false"/>
          <w:iCs w:val="false"/>
        </w:rPr>
        <w:t xml:space="preserve">Los autores del estudio, sin embargo, no descartan el LiDAR de smartphone como un mero sustituto: lo consideran un complemento eficaz, especialmente útil por su maniobrabilidad en pasos estrechos y por la calidad de las texturas fotográficas que ofrece, superior en esto a la de muchos escáneres profesionales. El mensaje de la investigación es, por tanto, pragmático: para trabajos de máxima precisión, monitorización estructural o cavidades de gran tamaño sigue siendo necesario un instrumento profesional; para la documentación rápida, la didáctica y la divulgación, un smartphone es más que suficiente, y está al alcance de cualquier grupo espeleológico, incluso el más pequeño.</w:t>
      </w:r>
    </w:p>
    <w:p>
      <w:pPr>
        <w:pStyle w:val="Heading2"/>
        <w:spacing w:after="140" w:before="320"/>
      </w:pPr>
      <w:r>
        <w:t xml:space="preserve">El problema del que nadie hablaba: compartir los levantamientos</w:t>
      </w:r>
    </w:p>
    <w:p>
      <w:pPr>
        <w:spacing w:after="200"/>
      </w:pPr>
      <w:r>
        <w:rPr>
          <w:b w:val="false"/>
          <w:bCs w:val="false"/>
          <w:i w:val="false"/>
          <w:iCs w:val="false"/>
        </w:rPr>
        <w:t xml:space="preserve">Si capturar un modelo 3D de una cueva es ya relativamente sencillo, queda abierta una pregunta menos discutida pero igual de relevante: ¿cómo mostrarlo a quien no es espeleólogo, o incluso a otro grupo? Las soluciones disponibles hoy cubren en parte esta necesidad, pero cada una conlleva un compromiso.</w:t>
      </w:r>
    </w:p>
    <w:p>
      <w:pPr>
        <w:spacing w:after="200"/>
      </w:pPr>
      <w:r>
        <w:rPr>
          <w:b w:val="false"/>
          <w:bCs w:val="false"/>
          <w:i w:val="false"/>
          <w:iCs w:val="false"/>
        </w:rPr>
        <w:t xml:space="preserve">Plataformas como Sketchfab permiten publicar modelos 3D navegables desde el navegador, pero son servicios comerciales de terceros: los planes gratuitos imponen límites de tamaño y número de archivos, mientras que las funciones más avanzadas requieren suscripción. Soluciones como Matterport ofrecen recorridos virtuales muy cuidados, adoptados incluso por algunas cuevas turísticas, pero requieren hardware y suscripciones dedicadas y siguen pensadas para la visita guiada más que para el análisis técnico. Los visores de nubes de puntos como Potree ofrecen herramientas de medición pero requieren conocimientos técnicos para publicarse en línea, mientras que el software dedicado a datos espeleológicos vectoriales sigue siendo valioso para el análisis pero poco adecuado para la divulgación al público general.</w:t>
      </w:r>
    </w:p>
    <w:p>
      <w:pPr>
        <w:spacing w:after="200"/>
      </w:pPr>
      <w:r>
        <w:rPr>
          <w:b w:val="false"/>
          <w:bCs w:val="false"/>
          <w:i w:val="false"/>
          <w:iCs w:val="false"/>
        </w:rPr>
        <w:t xml:space="preserve">En común, estas soluciones comparten algunas limitaciones: la dependencia de plataformas comerciales con costes y restricciones, la ausencia de un modo real de realidad virtual inmersiva, la falta de herramientas de medición y sección integradas, una georreferenciación débil respecto a la posición real de la cavidad, y archivos a menudo demasiado pesados para consultarse cómodamente desde una conexión de campo o en movilidad.</w:t>
      </w:r>
    </w:p>
    <w:p>
      <w:pPr>
        <w:pStyle w:val="Heading2"/>
        <w:spacing w:after="140" w:before="320"/>
      </w:pPr>
      <w:r>
        <w:t xml:space="preserve">3D Cave Viewer: un enfoque diferente</w:t>
      </w:r>
    </w:p>
    <w:p>
      <w:pPr>
        <w:spacing w:after="200"/>
      </w:pPr>
      <w:r>
        <w:rPr>
          <w:b w:val="false"/>
          <w:bCs w:val="false"/>
          <w:i w:val="false"/>
          <w:iCs w:val="false"/>
        </w:rPr>
        <w:t xml:space="preserve">Es de este vacío del que nace 3D Cave Viewer. No es un servicio en el que apoyarse, sino una aplicación web de código abierto que cualquier grupo espeleológico puede instalar en su propio alojamiento y usar con su propio nombre. No requiere ninguna instalación por parte de quien la consulta: se abre desde un mapa geolocalizado de las cavidades publicadas y, con un clic, se entra en el modelo tridimensional.</w:t>
      </w:r>
    </w:p>
    <w:p>
      <w:pPr>
        <w:spacing w:after="200"/>
      </w:pPr>
      <w:r>
        <w:rPr>
          <w:b w:val="false"/>
          <w:bCs w:val="false"/>
          <w:i w:val="false"/>
          <w:iCs w:val="false"/>
        </w:rPr>
        <w:t xml:space="preserve">La exploración está pensada en tres niveles crecientes de inmersión. El modo órbita permite girar y observar la cavidad desde fuera, como se haría con una maqueta física. El modo primera persona lleva literalmente al interior de la cueva, con un sistema de detección de colisiones que impide atravesar las paredes y transmite la sensación real del espacio. El modo de realidad virtual, para quien dispone de unas gafas compatibles con el estándar WebXR, permite moverse por la cavidad a escala 1:1, con un sistema de teletransporte para desplazarse rápidamente y un viñeteado de confort que reduce el riesgo de mareo por movimiento.</w:t>
      </w:r>
    </w:p>
    <w:p>
      <w:pPr>
        <w:spacing w:after="200"/>
      </w:pPr>
      <w:r>
        <w:rPr>
          <w:b w:val="false"/>
          <w:bCs w:val="false"/>
          <w:i w:val="false"/>
          <w:iCs w:val="false"/>
        </w:rPr>
        <w:t xml:space="preserve">Junto a la exploración, el visor ofrece herramientas pensadas para quien trabaja en el campo: mediciones tridimensionales con ajuste automático a los vértices de la malla, exportables a CSV; planos de sección a lo largo de los tres ejes para observar la estructura interna de la cavidad; anotaciones con etiquetas descriptivas, guardadas y exportables en formato JSON. La aplicación también funciona sin conexión, una vez descargado el modelo, gracias a la tecnología de las Progressive Web App: una característica valiosa en zonas de montaña donde la cobertura de red es escasa o inexistente. La interfaz está disponible en italiano, inglés, francés y español.</w:t>
      </w:r>
    </w:p>
    <w:p>
      <w:pPr>
        <w:spacing w:after="200"/>
      </w:pPr>
      <w:r>
        <w:rPr>
          <w:b w:val="false"/>
          <w:bCs w:val="false"/>
          <w:i w:val="false"/>
          <w:iCs w:val="false"/>
        </w:rPr>
        <w:t xml:space="preserve">La decisión técnica más significativa, sin embargo, es la licencia. El código se distribuye bajo licencia GNU GPL v3: cualquier grupo espeleológico, sección del CAI o institución puede adoptarlo gratis, personalizarlo con su propio nombre, colores y textos, y publicar sus propios levantamientos sin depender de herramientas profesionales de pago, con la única obligación de citar al autor original. El backend, escrito en PHP sin framework y sin ningún paso de compilación, está pensado para funcionar en un alojamiento económico habitual y para poder ser mantenido incluso por grupos sin un equipo de desarrollo dedicado.</w:t>
      </w:r>
    </w:p>
    <w:p>
      <w:pPr>
        <w:pStyle w:val="Heading2"/>
        <w:spacing w:after="140" w:before="320"/>
      </w:pPr>
      <w:r>
        <w:t xml:space="preserve">A quién va dirigido</w:t>
      </w:r>
    </w:p>
    <w:p>
      <w:pPr>
        <w:pStyle w:val="ListParagraph"/>
        <w:numPr>
          <w:ilvl w:val="0"/>
          <w:numId w:val="2"/>
        </w:numPr>
        <w:spacing w:after="120"/>
      </w:pPr>
      <w:r>
        <w:t xml:space="preserve">Grupos espeleológicos y secciones del CAI, para archivar y compartir sus levantamientos con un simple enlace, reutilizando la plataforma con su propio nombre.</w:t>
      </w:r>
    </w:p>
    <w:p>
      <w:pPr>
        <w:pStyle w:val="ListParagraph"/>
        <w:numPr>
          <w:ilvl w:val="0"/>
          <w:numId w:val="2"/>
        </w:numPr>
        <w:spacing w:after="120"/>
      </w:pPr>
      <w:r>
        <w:t xml:space="preserve">Investigadores y geólogos, para estudiar morfologías y realizar mediciones y secciones sin necesidad de software CAD especializado.</w:t>
      </w:r>
    </w:p>
    <w:p>
      <w:pPr>
        <w:pStyle w:val="ListParagraph"/>
        <w:numPr>
          <w:ilvl w:val="0"/>
          <w:numId w:val="2"/>
        </w:numPr>
        <w:spacing w:after="120"/>
      </w:pPr>
      <w:r>
        <w:t xml:space="preserve">Escuelas y actividades de divulgación, para llevar a estudiantes y al público dentro de una cueva, también en realidad virtual, sin riesgos y sin equipamiento.</w:t>
      </w:r>
    </w:p>
    <w:p>
      <w:pPr>
        <w:pStyle w:val="ListParagraph"/>
        <w:numPr>
          <w:ilvl w:val="0"/>
          <w:numId w:val="2"/>
        </w:numPr>
        <w:spacing w:after="120"/>
      </w:pPr>
      <w:r>
        <w:t xml:space="preserve">Prensa y comunicación, para narrar las exploraciones con imágenes, enlaces que se pueden compartir y vistas previas sociales generadas automáticamente por la aplicación.</w:t>
      </w:r>
    </w:p>
    <w:p>
      <w:pPr>
        <w:spacing w:after="200"/>
      </w:pPr>
      <w:r>
        <w:rPr>
          <w:b w:val="false"/>
          <w:bCs w:val="false"/>
          <w:i w:val="false"/>
          <w:iCs w:val="false"/>
        </w:rPr>
        <w:t xml:space="preserve">3D Cave Viewer se presentará públicamente en el encuentro espeleológico de Costacciaro, en noviembre de 2026, cuando el código fuente será accesible para todos en GitHub. Hasta entonces, el proyecto puede consultarse en el sitio oficial 3dcaveviewer.com, donde ya pueden visitarse algunas cavidades del territorio de Gubbio a modo de demostración.</w:t>
      </w:r>
    </w:p>
    <w:p>
      <w:pPr>
        <w:pStyle w:val="Heading3"/>
        <w:spacing w:after="80" w:before="120"/>
      </w:pPr>
      <w:r>
        <w:t xml:space="preserve">El proyecto en cifras</w:t>
      </w:r>
    </w:p>
    <w:tbl>
      <w:tblPr>
        <w:tblW w:type="dxa" w:w="9160"/>
        <w:tblBorders>
          <w:top w:val="single" w:color="auto" w:sz="4"/>
          <w:left w:val="single" w:color="auto" w:sz="4"/>
          <w:bottom w:val="single" w:color="auto" w:sz="4"/>
          <w:right w:val="single" w:color="auto" w:sz="4"/>
          <w:insideH w:val="single" w:color="auto" w:sz="4"/>
          <w:insideV w:val="single" w:color="auto" w:sz="4"/>
        </w:tblBorders>
      </w:tblPr>
      <w:tblGrid>
        <w:gridCol w:w="1400"/>
        <w:gridCol w:w="7760"/>
      </w:tblGrid>
      <w:tr>
        <w:tc>
          <w:tcPr>
            <w:tcW w:type="dxa" w:w="1400"/>
            <w:shd w:fill="EDEFEF" w:color="auto" w:val="clear"/>
            <w:tcMar>
              <w:top w:type="dxa" w:w="80"/>
              <w:left w:type="dxa" w:w="100"/>
              <w:bottom w:type="dxa" w:w="80"/>
              <w:right w:type="dxa" w:w="100"/>
            </w:tcMar>
          </w:tcPr>
          <w:p>
            <w:r>
              <w:rPr>
                <w:b/>
                <w:bCs/>
              </w:rPr>
              <w:t xml:space="preserve">3</w:t>
            </w:r>
          </w:p>
        </w:tc>
        <w:tc>
          <w:tcPr>
            <w:tcW w:type="dxa" w:w="7760"/>
            <w:tcMar>
              <w:top w:type="dxa" w:w="80"/>
              <w:left w:type="dxa" w:w="100"/>
              <w:bottom w:type="dxa" w:w="80"/>
              <w:right w:type="dxa" w:w="100"/>
            </w:tcMar>
          </w:tcPr>
          <w:p>
            <w:r>
              <w:rPr>
                <w:b w:val="false"/>
                <w:bCs w:val="false"/>
              </w:rPr>
              <w:t xml:space="preserve">modos de exploración: órbita, primera persona, realidad virtual</w:t>
            </w:r>
          </w:p>
        </w:tc>
      </w:tr>
      <w:tr>
        <w:tc>
          <w:tcPr>
            <w:tcW w:type="dxa" w:w="1400"/>
            <w:shd w:fill="EDEFEF" w:color="auto" w:val="clear"/>
            <w:tcMar>
              <w:top w:type="dxa" w:w="80"/>
              <w:left w:type="dxa" w:w="100"/>
              <w:bottom w:type="dxa" w:w="80"/>
              <w:right w:type="dxa" w:w="100"/>
            </w:tcMar>
          </w:tcPr>
          <w:p>
            <w:r>
              <w:rPr>
                <w:b/>
                <w:bCs/>
              </w:rPr>
              <w:t xml:space="preserve">4</w:t>
            </w:r>
          </w:p>
        </w:tc>
        <w:tc>
          <w:tcPr>
            <w:tcW w:type="dxa" w:w="7760"/>
            <w:tcMar>
              <w:top w:type="dxa" w:w="80"/>
              <w:left w:type="dxa" w:w="100"/>
              <w:bottom w:type="dxa" w:w="80"/>
              <w:right w:type="dxa" w:w="100"/>
            </w:tcMar>
          </w:tcPr>
          <w:p>
            <w:r>
              <w:rPr>
                <w:b w:val="false"/>
                <w:bCs w:val="false"/>
              </w:rPr>
              <w:t xml:space="preserve">idiomas de la interfaz: italiano, inglés, francés, español</w:t>
            </w:r>
          </w:p>
        </w:tc>
      </w:tr>
      <w:tr>
        <w:tc>
          <w:tcPr>
            <w:tcW w:type="dxa" w:w="1400"/>
            <w:shd w:fill="EDEFEF" w:color="auto" w:val="clear"/>
            <w:tcMar>
              <w:top w:type="dxa" w:w="80"/>
              <w:left w:type="dxa" w:w="100"/>
              <w:bottom w:type="dxa" w:w="80"/>
              <w:right w:type="dxa" w:w="100"/>
            </w:tcMar>
          </w:tcPr>
          <w:p>
            <w:r>
              <w:rPr>
                <w:b/>
                <w:bCs/>
              </w:rPr>
              <w:t xml:space="preserve">6</w:t>
            </w:r>
          </w:p>
        </w:tc>
        <w:tc>
          <w:tcPr>
            <w:tcW w:type="dxa" w:w="7760"/>
            <w:tcMar>
              <w:top w:type="dxa" w:w="80"/>
              <w:left w:type="dxa" w:w="100"/>
              <w:bottom w:type="dxa" w:w="80"/>
              <w:right w:type="dxa" w:w="100"/>
            </w:tcMar>
          </w:tcPr>
          <w:p>
            <w:r>
              <w:rPr>
                <w:b w:val="false"/>
                <w:bCs w:val="false"/>
              </w:rPr>
              <w:t xml:space="preserve">vistas ortogonales predefinidas del modelo</w:t>
            </w:r>
          </w:p>
        </w:tc>
      </w:tr>
      <w:tr>
        <w:tc>
          <w:tcPr>
            <w:tcW w:type="dxa" w:w="1400"/>
            <w:shd w:fill="EDEFEF" w:color="auto" w:val="clear"/>
            <w:tcMar>
              <w:top w:type="dxa" w:w="80"/>
              <w:left w:type="dxa" w:w="100"/>
              <w:bottom w:type="dxa" w:w="80"/>
              <w:right w:type="dxa" w:w="100"/>
            </w:tcMar>
          </w:tcPr>
          <w:p>
            <w:r>
              <w:rPr>
                <w:b/>
                <w:bCs/>
              </w:rPr>
              <w:t xml:space="preserve">3</w:t>
            </w:r>
          </w:p>
        </w:tc>
        <w:tc>
          <w:tcPr>
            <w:tcW w:type="dxa" w:w="7760"/>
            <w:tcMar>
              <w:top w:type="dxa" w:w="80"/>
              <w:left w:type="dxa" w:w="100"/>
              <w:bottom w:type="dxa" w:w="80"/>
              <w:right w:type="dxa" w:w="100"/>
            </w:tcMar>
          </w:tcPr>
          <w:p>
            <w:r>
              <w:rPr>
                <w:b w:val="false"/>
                <w:bCs w:val="false"/>
              </w:rPr>
              <w:t xml:space="preserve">formatos 3D admitidos: GLB, GLTF, OBJ</w:t>
            </w:r>
          </w:p>
        </w:tc>
      </w:tr>
      <w:tr>
        <w:tc>
          <w:tcPr>
            <w:tcW w:type="dxa" w:w="1400"/>
            <w:shd w:fill="EDEFEF" w:color="auto" w:val="clear"/>
            <w:tcMar>
              <w:top w:type="dxa" w:w="80"/>
              <w:left w:type="dxa" w:w="100"/>
              <w:bottom w:type="dxa" w:w="80"/>
              <w:right w:type="dxa" w:w="100"/>
            </w:tcMar>
          </w:tcPr>
          <w:p>
            <w:r>
              <w:rPr>
                <w:b/>
                <w:bCs/>
              </w:rPr>
              <w:t xml:space="preserve">0</w:t>
            </w:r>
          </w:p>
        </w:tc>
        <w:tc>
          <w:tcPr>
            <w:tcW w:type="dxa" w:w="7760"/>
            <w:tcMar>
              <w:top w:type="dxa" w:w="80"/>
              <w:left w:type="dxa" w:w="100"/>
              <w:bottom w:type="dxa" w:w="80"/>
              <w:right w:type="dxa" w:w="100"/>
            </w:tcMar>
          </w:tcPr>
          <w:p>
            <w:r>
              <w:rPr>
                <w:b w:val="false"/>
                <w:bCs w:val="false"/>
              </w:rPr>
              <w:t xml:space="preserve">instalaciones necesarias para usarlo</w:t>
            </w:r>
          </w:p>
        </w:tc>
      </w:tr>
      <w:tr>
        <w:tc>
          <w:tcPr>
            <w:tcW w:type="dxa" w:w="1400"/>
            <w:shd w:fill="EDEFEF" w:color="auto" w:val="clear"/>
            <w:tcMar>
              <w:top w:type="dxa" w:w="80"/>
              <w:left w:type="dxa" w:w="100"/>
              <w:bottom w:type="dxa" w:w="80"/>
              <w:right w:type="dxa" w:w="100"/>
            </w:tcMar>
          </w:tcPr>
          <w:p>
            <w:r>
              <w:rPr>
                <w:b/>
                <w:bCs/>
              </w:rPr>
              <w:t xml:space="preserve">100%</w:t>
            </w:r>
          </w:p>
        </w:tc>
        <w:tc>
          <w:tcPr>
            <w:tcW w:type="dxa" w:w="7760"/>
            <w:tcMar>
              <w:top w:type="dxa" w:w="80"/>
              <w:left w:type="dxa" w:w="100"/>
              <w:bottom w:type="dxa" w:w="80"/>
              <w:right w:type="dxa" w:w="100"/>
            </w:tcMar>
          </w:tcPr>
          <w:p>
            <w:r>
              <w:rPr>
                <w:b w:val="false"/>
                <w:bCs w:val="false"/>
              </w:rPr>
              <w:t xml:space="preserve">código de código abierto, licencia GNU GPL v3</w:t>
            </w:r>
          </w:p>
        </w:tc>
      </w:tr>
    </w:tbl>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5"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2026-07-27T21:16:40.496Z</dcterms:created>
  <dcterms:modified xsi:type="dcterms:W3CDTF">2026-07-27T21:16:40.496Z</dcterms:modified>
</cp:coreProperties>
</file>

<file path=docProps/custom.xml><?xml version="1.0" encoding="utf-8"?>
<Properties xmlns="http://schemas.openxmlformats.org/officeDocument/2006/custom-properties" xmlns:vt="http://schemas.openxmlformats.org/officeDocument/2006/docPropsVTypes"/>
</file>