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20"/>
      </w:pPr>
      <w:r>
        <w:t xml:space="preserve">Entrer dans une grotte depuis son navigateur</w:t>
      </w:r>
    </w:p>
    <w:p>
      <w:pPr>
        <w:spacing w:after="280"/>
      </w:pPr>
      <w:r>
        <w:rPr>
          <w:i/>
          <w:iCs/>
        </w:rPr>
        <w:t xml:space="preserve">Comment le LiDAR des smartphones change le relevé spéléologique, et pourquoi le partager en ligne reste un problème encore non résolu.</w:t>
      </w:r>
    </w:p>
    <w:p>
      <w:pPr>
        <w:pStyle w:val="Heading2"/>
        <w:spacing w:after="140" w:before="320"/>
      </w:pPr>
      <w:r>
        <w:t xml:space="preserve">Des scanners professionnels à un smartphone en poche</w:t>
      </w:r>
    </w:p>
    <w:p>
      <w:pPr>
        <w:spacing w:after="200"/>
      </w:pPr>
      <w:r>
        <w:rPr>
          <w:b w:val="false"/>
          <w:bCs w:val="false"/>
          <w:i w:val="false"/>
          <w:iCs w:val="false"/>
        </w:rPr>
        <w:t xml:space="preserve">Quiconque pratique le relevé spéléologique connaît bien le compromis entre qualité et accessibilité des outils. Un scanner laser terrestre professionnel garantit une précision millimétrique et une portée de plusieurs dizaines de mètres, mais coûte plusieurs dizaines de milliers d'euros et son encombrement le rend tout simplement impraticable dans certains passages étroits. Depuis 2020, avec l'iPhone 12 Pro, Apple a intégré un capteur LiDAR à ses appareils haut de gamme, et ces dernières années des groupes spéléologiques et des chercheurs ont commencé à l'utiliser pour relever grottes et cavités artificielles avec des applications comme Scaniverse ou Polycam.</w:t>
      </w:r>
    </w:p>
    <w:p>
      <w:pPr>
        <w:spacing w:after="200"/>
      </w:pPr>
      <w:r>
        <w:rPr>
          <w:b w:val="false"/>
          <w:bCs w:val="false"/>
          <w:i w:val="false"/>
          <w:iCs w:val="false"/>
        </w:rPr>
        <w:t xml:space="preserve">L'avantage n'est pas seulement économique. Un smartphone protégé par une coque robuste passe là où un trépied n'arrive pas, ne nécessite qu'une seule personne pour l'acquisition et restitue sur place un aperçu tridimensionnel de la cavité. En Italie, le phénomène est désormais bien établi : les stages et ateliers dédiés se multiplient au sein des groupes spéléologiques et des commissions techniques de la Società Speleologica Italiana, signe que le relevé au LiDAR depuis un smartphone est devenu un langage de travail partagé, et non plus une curiosité technologique.</w:t>
      </w:r>
    </w:p>
    <w:p>
      <w:pPr>
        <w:pStyle w:val="Heading2"/>
        <w:spacing w:after="140" w:before="320"/>
      </w:pPr>
      <w:r>
        <w:t xml:space="preserve">Un outil économique, pas un substitut</w:t>
      </w:r>
    </w:p>
    <w:p>
      <w:pPr>
        <w:spacing w:after="200"/>
      </w:pPr>
      <w:r>
        <w:rPr>
          <w:b w:val="false"/>
          <w:bCs w:val="false"/>
          <w:i w:val="false"/>
          <w:iCs w:val="false"/>
        </w:rPr>
        <w:t xml:space="preserve">Le LiDAR d'un smartphone ne remplace pas un scanner professionnel, et la communauté scientifique l'a mesuré avec clarté. Une comparaison publiée en 2025 dans le Journal of Archaeological Science, menée dans une grotte espagnole avec un iPhone et un scanner Leica de référence, a montré que l'appareil mobile reproduit la surface de la cavité avec un écart moyen de quelques centimètres seulement par rapport à l'instrument professionnel, mais souffre d'une portée utile limitée à environ cinq mètres, contre plusieurs dizaines de mètres pour un scanner terrestre.</w:t>
      </w:r>
    </w:p>
    <w:p>
      <w:pPr>
        <w:spacing w:after="200"/>
      </w:pPr>
      <w:r>
        <w:rPr>
          <w:b w:val="false"/>
          <w:bCs w:val="false"/>
          <w:i w:val="false"/>
          <w:iCs w:val="false"/>
        </w:rPr>
        <w:t xml:space="preserve">Les auteurs de l'étude ne rejettent pourtant pas le LiDAR de smartphone comme un pis-aller : ils y voient un complément efficace, particulièrement utile pour sa maniabilité dans les passages étroits et pour la qualité des textures photographiques qu'il restitue, supérieure sur ce point à celle de nombreux scanners professionnels. Le message de la recherche est donc pragmatique : pour les travaux de précision maximale, la surveillance structurelle ou les cavités de grande taille, un instrument professionnel reste nécessaire ; pour la documentation rapide, la pédagogie et la médiation, un smartphone suffit largement, et cela à la portée de n'importe quel groupe spéléologique, même le plus modeste.</w:t>
      </w:r>
    </w:p>
    <w:p>
      <w:pPr>
        <w:pStyle w:val="Heading2"/>
        <w:spacing w:after="140" w:before="320"/>
      </w:pPr>
      <w:r>
        <w:t xml:space="preserve">Le problème dont personne ne parlait : partager les relevés</w:t>
      </w:r>
    </w:p>
    <w:p>
      <w:pPr>
        <w:spacing w:after="200"/>
      </w:pPr>
      <w:r>
        <w:rPr>
          <w:b w:val="false"/>
          <w:bCs w:val="false"/>
          <w:i w:val="false"/>
          <w:iCs w:val="false"/>
        </w:rPr>
        <w:t xml:space="preserve">Si acquérir un modèle 3D d'une grotte est désormais relativement simple, une question moins discutée mais tout aussi importante reste ouverte : comment le montrer à qui n'est pas spéléologue, ou même à un autre groupe ? Les solutions disponibles aujourd'hui répondent en partie à ce besoin, mais chacune comporte un compromis.</w:t>
      </w:r>
    </w:p>
    <w:p>
      <w:pPr>
        <w:spacing w:after="200"/>
      </w:pPr>
      <w:r>
        <w:rPr>
          <w:b w:val="false"/>
          <w:bCs w:val="false"/>
          <w:i w:val="false"/>
          <w:iCs w:val="false"/>
        </w:rPr>
        <w:t xml:space="preserve">Des plateformes comme Sketchfab permettent de publier des modèles 3D navigables depuis un navigateur, mais ce sont des services commerciaux tiers : les offres gratuites imposent des limites de taille et de nombre de fichiers, tandis que les fonctionnalités avancées nécessitent un abonnement. Des solutions comme Matterport offrent des visites virtuelles très soignées, adoptées même par certaines grottes touristiques, mais exigent du matériel et des abonnements dédiés, et restent pensées pour la visite guidée plutôt que pour l'analyse technique. Les visualiseurs de nuages de points comme Potree offrent des outils de mesure mais requièrent des compétences techniques pour être mis en ligne, tandis que les logiciels dédiés aux données spéléologiques vectorielles restent précieux pour l'analyse mais peu adaptés à la médiation vers le grand public.</w:t>
      </w:r>
    </w:p>
    <w:p>
      <w:pPr>
        <w:spacing w:after="200"/>
      </w:pPr>
      <w:r>
        <w:rPr>
          <w:b w:val="false"/>
          <w:bCs w:val="false"/>
          <w:i w:val="false"/>
          <w:iCs w:val="false"/>
        </w:rPr>
        <w:t xml:space="preserve">Ces solutions partagent certaines limites : la dépendance à des plateformes commerciales avec leurs coûts et leurs contraintes, l'absence d'un véritable mode de réalité virtuelle immersive, le manque d'outils de mesure et de coupe intégrés, une géoréférenciation approximative par rapport à la position réelle de la cavité, et des fichiers souvent trop lourds pour être consultés facilement depuis une connexion de terrain ou en mobilité.</w:t>
      </w:r>
    </w:p>
    <w:p>
      <w:pPr>
        <w:pStyle w:val="Heading2"/>
        <w:spacing w:after="140" w:before="320"/>
      </w:pPr>
      <w:r>
        <w:t xml:space="preserve">3D Cave Viewer : une approche différente</w:t>
      </w:r>
    </w:p>
    <w:p>
      <w:pPr>
        <w:spacing w:after="200"/>
      </w:pPr>
      <w:r>
        <w:rPr>
          <w:b w:val="false"/>
          <w:bCs w:val="false"/>
          <w:i w:val="false"/>
          <w:iCs w:val="false"/>
        </w:rPr>
        <w:t xml:space="preserve">C'est de cet espace laissé vacant qu'est né 3D Cave Viewer. Ce n'est pas un service auquel s'adosser, mais une application web libre que tout groupe spéléologique peut installer sur son propre hébergement et utiliser sous son propre nom. Elle ne nécessite aucune installation de la part de qui la consulte : elle s'ouvre depuis une carte géolocalisée des cavités publiées et, d'un clic, permet d'entrer dans le modèle tridimensionnel.</w:t>
      </w:r>
    </w:p>
    <w:p>
      <w:pPr>
        <w:spacing w:after="200"/>
      </w:pPr>
      <w:r>
        <w:rPr>
          <w:b w:val="false"/>
          <w:bCs w:val="false"/>
          <w:i w:val="false"/>
          <w:iCs w:val="false"/>
        </w:rPr>
        <w:t xml:space="preserve">L'exploration est pensée sur trois niveaux d'immersion croissants. Le mode orbite permet de faire tourner et d'observer la cavité de l'extérieur, comme on le ferait avec une maquette physique. Le mode première personne place littéralement l'utilisateur à l'intérieur de la grotte, avec un système de détection des collisions qui empêche de traverser les parois et restitue la sensation réelle de l'espace. Le mode réalité virtuelle, pour qui dispose d'un casque compatible avec la norme WebXR, permet de se déplacer dans la cavité à l'échelle 1:1, avec un système de téléportation pour se déplacer rapidement et un vignettage de confort qui réduit le risque de mal des transports.</w:t>
      </w:r>
    </w:p>
    <w:p>
      <w:pPr>
        <w:spacing w:after="200"/>
      </w:pPr>
      <w:r>
        <w:rPr>
          <w:b w:val="false"/>
          <w:bCs w:val="false"/>
          <w:i w:val="false"/>
          <w:iCs w:val="false"/>
        </w:rPr>
        <w:t xml:space="preserve">Aux côtés de l'exploration, le visualiseur met à disposition des outils pensés pour le travail de terrain : des mesures tridimensionnelles avec accrochage automatique aux sommets du maillage, exportables en CSV ; des plans de coupe selon les trois axes pour observer la structure interne de la cavité ; des annotations avec étiquettes descriptives, enregistrées et exportables au format JSON. L'application fonctionne aussi hors ligne, une fois le modèle téléchargé, grâce à la technologie des Progressive Web App : une caractéristique précieuse dans les zones de montagne où la couverture réseau est faible ou absente. L'interface est disponible en italien, anglais, français et espagnol.</w:t>
      </w:r>
    </w:p>
    <w:p>
      <w:pPr>
        <w:spacing w:after="200"/>
      </w:pPr>
      <w:r>
        <w:rPr>
          <w:b w:val="false"/>
          <w:bCs w:val="false"/>
          <w:i w:val="false"/>
          <w:iCs w:val="false"/>
        </w:rPr>
        <w:t xml:space="preserve">Le choix technique le plus significatif concerne toutefois la licence. Le code est distribué sous licence GNU GPL v3 : tout groupe spéléologique, section CAI ou institution peut l'adopter gratuitement, le personnaliser avec son propre nom, ses propres couleurs et ses propres textes, et publier ses propres relevés sans dépendre d'outils professionnels payants, avec pour seule obligation de citer l'auteur original. Le back-end, écrit en PHP sans framework et sans aucune étape de compilation, est pensé pour fonctionner sur un hébergement courant et bon marché, et pour pouvoir être maintenu même par des groupes sans équipe de développement dédiée.</w:t>
      </w:r>
    </w:p>
    <w:p>
      <w:pPr>
        <w:pStyle w:val="Heading2"/>
        <w:spacing w:after="140" w:before="320"/>
      </w:pPr>
      <w:r>
        <w:t xml:space="preserve">À qui cela s'adresse</w:t>
      </w:r>
    </w:p>
    <w:p>
      <w:pPr>
        <w:pStyle w:val="ListParagraph"/>
        <w:numPr>
          <w:ilvl w:val="0"/>
          <w:numId w:val="2"/>
        </w:numPr>
        <w:spacing w:after="120"/>
      </w:pPr>
      <w:r>
        <w:t xml:space="preserve">Groupes spéléologiques et sections CAI, pour archiver et partager leurs relevés grâce à un simple lien, et réutiliser la plateforme sous leur propre nom.</w:t>
      </w:r>
    </w:p>
    <w:p>
      <w:pPr>
        <w:pStyle w:val="ListParagraph"/>
        <w:numPr>
          <w:ilvl w:val="0"/>
          <w:numId w:val="2"/>
        </w:numPr>
        <w:spacing w:after="120"/>
      </w:pPr>
      <w:r>
        <w:t xml:space="preserve">Chercheurs et géologues, pour étudier les morphologies et produire des mesures et des coupes sans logiciel de CAO spécialisé.</w:t>
      </w:r>
    </w:p>
    <w:p>
      <w:pPr>
        <w:pStyle w:val="ListParagraph"/>
        <w:numPr>
          <w:ilvl w:val="0"/>
          <w:numId w:val="2"/>
        </w:numPr>
        <w:spacing w:after="120"/>
      </w:pPr>
      <w:r>
        <w:t xml:space="preserve">Écoles et actions de médiation, pour emmener élèves et public à l'intérieur d'une grotte, réalité virtuelle comprise, sans risque et sans matériel.</w:t>
      </w:r>
    </w:p>
    <w:p>
      <w:pPr>
        <w:pStyle w:val="ListParagraph"/>
        <w:numPr>
          <w:ilvl w:val="0"/>
          <w:numId w:val="2"/>
        </w:numPr>
        <w:spacing w:after="120"/>
      </w:pPr>
      <w:r>
        <w:t xml:space="preserve">Presse et communication, pour raconter les explorations avec des images, des liens partageables et des aperçus sociaux générés automatiquement par l'application.</w:t>
      </w:r>
    </w:p>
    <w:p>
      <w:pPr>
        <w:spacing w:after="200"/>
      </w:pPr>
      <w:r>
        <w:rPr>
          <w:b w:val="false"/>
          <w:bCs w:val="false"/>
          <w:i w:val="false"/>
          <w:iCs w:val="false"/>
        </w:rPr>
        <w:t xml:space="preserve">3D Cave Viewer sera présenté officiellement lors du rassemblement spéléologique de Costacciaro, en novembre 2026, lorsque le code source deviendra accessible à tous sur GitHub. D'ici là, le projet est consultable sur le site officiel 3dcaveviewer.com, où quelques cavités du territoire de Gubbio sont déjà visitables à titre de démonstration.</w:t>
      </w:r>
    </w:p>
    <w:p>
      <w:pPr>
        <w:pStyle w:val="Heading3"/>
        <w:spacing w:after="80" w:before="120"/>
      </w:pPr>
      <w:r>
        <w:t xml:space="preserve">Le projet en chiffres</w:t>
      </w:r>
    </w:p>
    <w:tbl>
      <w:tblPr>
        <w:tblW w:type="dxa" w:w="9160"/>
        <w:tblBorders>
          <w:top w:val="single" w:color="auto" w:sz="4"/>
          <w:left w:val="single" w:color="auto" w:sz="4"/>
          <w:bottom w:val="single" w:color="auto" w:sz="4"/>
          <w:right w:val="single" w:color="auto" w:sz="4"/>
          <w:insideH w:val="single" w:color="auto" w:sz="4"/>
          <w:insideV w:val="single" w:color="auto" w:sz="4"/>
        </w:tblBorders>
      </w:tblPr>
      <w:tblGrid>
        <w:gridCol w:w="1400"/>
        <w:gridCol w:w="7760"/>
      </w:tblGrid>
      <w:tr>
        <w:tc>
          <w:tcPr>
            <w:tcW w:type="dxa" w:w="1400"/>
            <w:shd w:fill="EDEFEF" w:color="auto" w:val="clear"/>
            <w:tcMar>
              <w:top w:type="dxa" w:w="80"/>
              <w:left w:type="dxa" w:w="100"/>
              <w:bottom w:type="dxa" w:w="80"/>
              <w:right w:type="dxa" w:w="100"/>
            </w:tcMar>
          </w:tcPr>
          <w:p>
            <w:r>
              <w:rPr>
                <w:b/>
                <w:bCs/>
              </w:rPr>
              <w:t xml:space="preserve">3</w:t>
            </w:r>
          </w:p>
        </w:tc>
        <w:tc>
          <w:tcPr>
            <w:tcW w:type="dxa" w:w="7760"/>
            <w:tcMar>
              <w:top w:type="dxa" w:w="80"/>
              <w:left w:type="dxa" w:w="100"/>
              <w:bottom w:type="dxa" w:w="80"/>
              <w:right w:type="dxa" w:w="100"/>
            </w:tcMar>
          </w:tcPr>
          <w:p>
            <w:r>
              <w:rPr>
                <w:b w:val="false"/>
                <w:bCs w:val="false"/>
              </w:rPr>
              <w:t xml:space="preserve">modes d'exploration : orbite, première personne, réalité virtuelle</w:t>
            </w:r>
          </w:p>
        </w:tc>
      </w:tr>
      <w:tr>
        <w:tc>
          <w:tcPr>
            <w:tcW w:type="dxa" w:w="1400"/>
            <w:shd w:fill="EDEFEF" w:color="auto" w:val="clear"/>
            <w:tcMar>
              <w:top w:type="dxa" w:w="80"/>
              <w:left w:type="dxa" w:w="100"/>
              <w:bottom w:type="dxa" w:w="80"/>
              <w:right w:type="dxa" w:w="100"/>
            </w:tcMar>
          </w:tcPr>
          <w:p>
            <w:r>
              <w:rPr>
                <w:b/>
                <w:bCs/>
              </w:rPr>
              <w:t xml:space="preserve">4</w:t>
            </w:r>
          </w:p>
        </w:tc>
        <w:tc>
          <w:tcPr>
            <w:tcW w:type="dxa" w:w="7760"/>
            <w:tcMar>
              <w:top w:type="dxa" w:w="80"/>
              <w:left w:type="dxa" w:w="100"/>
              <w:bottom w:type="dxa" w:w="80"/>
              <w:right w:type="dxa" w:w="100"/>
            </w:tcMar>
          </w:tcPr>
          <w:p>
            <w:r>
              <w:rPr>
                <w:b w:val="false"/>
                <w:bCs w:val="false"/>
              </w:rPr>
              <w:t xml:space="preserve">langues de l'interface : italien, anglais, français, espagnol</w:t>
            </w:r>
          </w:p>
        </w:tc>
      </w:tr>
      <w:tr>
        <w:tc>
          <w:tcPr>
            <w:tcW w:type="dxa" w:w="1400"/>
            <w:shd w:fill="EDEFEF" w:color="auto" w:val="clear"/>
            <w:tcMar>
              <w:top w:type="dxa" w:w="80"/>
              <w:left w:type="dxa" w:w="100"/>
              <w:bottom w:type="dxa" w:w="80"/>
              <w:right w:type="dxa" w:w="100"/>
            </w:tcMar>
          </w:tcPr>
          <w:p>
            <w:r>
              <w:rPr>
                <w:b/>
                <w:bCs/>
              </w:rPr>
              <w:t xml:space="preserve">6</w:t>
            </w:r>
          </w:p>
        </w:tc>
        <w:tc>
          <w:tcPr>
            <w:tcW w:type="dxa" w:w="7760"/>
            <w:tcMar>
              <w:top w:type="dxa" w:w="80"/>
              <w:left w:type="dxa" w:w="100"/>
              <w:bottom w:type="dxa" w:w="80"/>
              <w:right w:type="dxa" w:w="100"/>
            </w:tcMar>
          </w:tcPr>
          <w:p>
            <w:r>
              <w:rPr>
                <w:b w:val="false"/>
                <w:bCs w:val="false"/>
              </w:rPr>
              <w:t xml:space="preserve">vues orthogonales prédéfinies du modèle</w:t>
            </w:r>
          </w:p>
        </w:tc>
      </w:tr>
      <w:tr>
        <w:tc>
          <w:tcPr>
            <w:tcW w:type="dxa" w:w="1400"/>
            <w:shd w:fill="EDEFEF" w:color="auto" w:val="clear"/>
            <w:tcMar>
              <w:top w:type="dxa" w:w="80"/>
              <w:left w:type="dxa" w:w="100"/>
              <w:bottom w:type="dxa" w:w="80"/>
              <w:right w:type="dxa" w:w="100"/>
            </w:tcMar>
          </w:tcPr>
          <w:p>
            <w:r>
              <w:rPr>
                <w:b/>
                <w:bCs/>
              </w:rPr>
              <w:t xml:space="preserve">3</w:t>
            </w:r>
          </w:p>
        </w:tc>
        <w:tc>
          <w:tcPr>
            <w:tcW w:type="dxa" w:w="7760"/>
            <w:tcMar>
              <w:top w:type="dxa" w:w="80"/>
              <w:left w:type="dxa" w:w="100"/>
              <w:bottom w:type="dxa" w:w="80"/>
              <w:right w:type="dxa" w:w="100"/>
            </w:tcMar>
          </w:tcPr>
          <w:p>
            <w:r>
              <w:rPr>
                <w:b w:val="false"/>
                <w:bCs w:val="false"/>
              </w:rPr>
              <w:t xml:space="preserve">formats 3D pris en charge : GLB, GLTF, OBJ</w:t>
            </w:r>
          </w:p>
        </w:tc>
      </w:tr>
      <w:tr>
        <w:tc>
          <w:tcPr>
            <w:tcW w:type="dxa" w:w="1400"/>
            <w:shd w:fill="EDEFEF" w:color="auto" w:val="clear"/>
            <w:tcMar>
              <w:top w:type="dxa" w:w="80"/>
              <w:left w:type="dxa" w:w="100"/>
              <w:bottom w:type="dxa" w:w="80"/>
              <w:right w:type="dxa" w:w="100"/>
            </w:tcMar>
          </w:tcPr>
          <w:p>
            <w:r>
              <w:rPr>
                <w:b/>
                <w:bCs/>
              </w:rPr>
              <w:t xml:space="preserve">0</w:t>
            </w:r>
          </w:p>
        </w:tc>
        <w:tc>
          <w:tcPr>
            <w:tcW w:type="dxa" w:w="7760"/>
            <w:tcMar>
              <w:top w:type="dxa" w:w="80"/>
              <w:left w:type="dxa" w:w="100"/>
              <w:bottom w:type="dxa" w:w="80"/>
              <w:right w:type="dxa" w:w="100"/>
            </w:tcMar>
          </w:tcPr>
          <w:p>
            <w:r>
              <w:rPr>
                <w:b w:val="false"/>
                <w:bCs w:val="false"/>
              </w:rPr>
              <w:t xml:space="preserve">installation requise pour l'utiliser</w:t>
            </w:r>
          </w:p>
        </w:tc>
      </w:tr>
      <w:tr>
        <w:tc>
          <w:tcPr>
            <w:tcW w:type="dxa" w:w="1400"/>
            <w:shd w:fill="EDEFEF" w:color="auto" w:val="clear"/>
            <w:tcMar>
              <w:top w:type="dxa" w:w="80"/>
              <w:left w:type="dxa" w:w="100"/>
              <w:bottom w:type="dxa" w:w="80"/>
              <w:right w:type="dxa" w:w="100"/>
            </w:tcMar>
          </w:tcPr>
          <w:p>
            <w:r>
              <w:rPr>
                <w:b/>
                <w:bCs/>
              </w:rPr>
              <w:t xml:space="preserve">100%</w:t>
            </w:r>
          </w:p>
        </w:tc>
        <w:tc>
          <w:tcPr>
            <w:tcW w:type="dxa" w:w="7760"/>
            <w:tcMar>
              <w:top w:type="dxa" w:w="80"/>
              <w:left w:type="dxa" w:w="100"/>
              <w:bottom w:type="dxa" w:w="80"/>
              <w:right w:type="dxa" w:w="100"/>
            </w:tcMar>
          </w:tcPr>
          <w:p>
            <w:r>
              <w:rPr>
                <w:b w:val="false"/>
                <w:bCs w:val="false"/>
              </w:rPr>
              <w:t xml:space="preserve">code libre, licence GNU GPL v3</w:t>
            </w:r>
          </w:p>
        </w:tc>
      </w:tr>
    </w:tbl>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5" w:hanging="283"/>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2026-07-27T21:16:40.479Z</dcterms:created>
  <dcterms:modified xsi:type="dcterms:W3CDTF">2026-07-27T21:16:40.479Z</dcterms:modified>
</cp:coreProperties>
</file>

<file path=docProps/custom.xml><?xml version="1.0" encoding="utf-8"?>
<Properties xmlns="http://schemas.openxmlformats.org/officeDocument/2006/custom-properties" xmlns:vt="http://schemas.openxmlformats.org/officeDocument/2006/docPropsVTypes"/>
</file>