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pPr>
      <w:r>
        <w:t xml:space="preserve">Entrare in una grotta dal browser</w:t>
      </w:r>
    </w:p>
    <w:p>
      <w:pPr>
        <w:spacing w:after="280"/>
      </w:pPr>
      <w:r>
        <w:rPr>
          <w:i/>
          <w:iCs/>
        </w:rPr>
        <w:t xml:space="preserve">Come il LiDAR degli smartphone sta cambiando il rilievo speleologico, e perché condividerlo online resta un problema ancora da risolvere.</w:t>
      </w:r>
    </w:p>
    <w:p>
      <w:pPr>
        <w:pStyle w:val="Heading2"/>
        <w:spacing w:after="140" w:before="320"/>
      </w:pPr>
      <w:r>
        <w:t xml:space="preserve">Da scanner professionali a uno smartphone in tasca</w:t>
      </w:r>
    </w:p>
    <w:p>
      <w:pPr>
        <w:spacing w:after="200"/>
      </w:pPr>
      <w:r>
        <w:rPr>
          <w:b w:val="false"/>
          <w:bCs w:val="false"/>
          <w:i w:val="false"/>
          <w:iCs w:val="false"/>
        </w:rPr>
        <w:t xml:space="preserve">Chi si occupa di rilievo speleologico conosce bene il compromesso tra qualità e accessibilità degli strumenti. Uno scanner laser terrestre professionale garantisce precisione millimetrica e una portata di decine di metri, ma ha un costo che si misura in decine di migliaia di euro e un ingombro che in certi passaggi stretti è semplicemente impraticabile. Dal 2020, con l'iPhone 12 Pro, Apple ha integrato un sensore LiDAR nei propri dispositivi di fascia alta, e negli ultimi anni gruppi speleologici e ricercatori hanno iniziato a usarlo per rilevare grotte e cavità artificiali con app come Scaniverse o Polycam.</w:t>
      </w:r>
    </w:p>
    <w:p>
      <w:pPr>
        <w:spacing w:after="200"/>
      </w:pPr>
      <w:r>
        <w:rPr>
          <w:b w:val="false"/>
          <w:bCs w:val="false"/>
          <w:i w:val="false"/>
          <w:iCs w:val="false"/>
        </w:rPr>
        <w:t xml:space="preserve">Il vantaggio non è solo economico. Uno smartphone protetto da una custodia robusta passa dove un treppiede non arriva, richiede un'unica persona per l'acquisizione e restituisce già sul posto un'anteprima tridimensionale della cavità. In Italia il fenomeno è ormai consolidato: corsi e workshop dedicati si moltiplicano tra i gruppi speleologici e le commissioni tecniche della Società Speleologica Italiana, segno che il rilievo con LiDAR da smartphone è diventato un linguaggio operativo condiviso, non più una curiosità tecnologica.</w:t>
      </w:r>
    </w:p>
    <w:p>
      <w:pPr>
        <w:pStyle w:val="Heading2"/>
        <w:spacing w:after="140" w:before="320"/>
      </w:pPr>
      <w:r>
        <w:t xml:space="preserve">Uno strumento economico, non un sostituto</w:t>
      </w:r>
    </w:p>
    <w:p>
      <w:pPr>
        <w:spacing w:after="200"/>
      </w:pPr>
      <w:r>
        <w:rPr>
          <w:b w:val="false"/>
          <w:bCs w:val="false"/>
          <w:i w:val="false"/>
          <w:iCs w:val="false"/>
        </w:rPr>
        <w:t xml:space="preserve">Il LiDAR di uno smartphone non sostituisce uno scanner professionale, e la comunità scientifica lo ha misurato con chiarezza. Un confronto pubblicato nel 2025 sul Journal of Archaeological Science, condotto in una grotta spagnola con un iPhone e uno scanner Leica di riferimento, ha rilevato che il dispositivo mobile riproduce la superficie della cavità con uno scarto medio di pochi centimetri rispetto allo strumento professionale, ma sconta una portata utile limitata a circa cinque metri, contro le decine di metri di uno scanner terrestre.</w:t>
      </w:r>
    </w:p>
    <w:p>
      <w:pPr>
        <w:spacing w:after="200"/>
      </w:pPr>
      <w:r>
        <w:rPr>
          <w:b w:val="false"/>
          <w:bCs w:val="false"/>
          <w:i w:val="false"/>
          <w:iCs w:val="false"/>
        </w:rPr>
        <w:t xml:space="preserve">Gli autori dello studio non liquidano però il LiDAR da smartphone come un ripiego: lo considerano un complemento efficace, particolarmente utile per la sua maneggevolezza nei passaggi stretti e per la qualità delle texture fotografiche che restituisce, superiore in questo a molti scanner professionali. Il messaggio che arriva dalla ricerca è quindi pragmatico: per lavori di massima precisione, monitoraggi strutturali o cavità di grandi dimensioni resta necessario uno strumento professionale; per la documentazione rapida, la didattica e la divulgazione, uno smartphone è più che sufficiente, ed è alla portata di qualunque gruppo speleologico, anche il più piccolo.</w:t>
      </w:r>
    </w:p>
    <w:p>
      <w:pPr>
        <w:pStyle w:val="Heading2"/>
        <w:spacing w:after="140" w:before="320"/>
      </w:pPr>
      <w:r>
        <w:t xml:space="preserve">Il problema che nessuno raccontava: condividere i rilievi</w:t>
      </w:r>
    </w:p>
    <w:p>
      <w:pPr>
        <w:spacing w:after="200"/>
      </w:pPr>
      <w:r>
        <w:rPr>
          <w:b w:val="false"/>
          <w:bCs w:val="false"/>
          <w:i w:val="false"/>
          <w:iCs w:val="false"/>
        </w:rPr>
        <w:t xml:space="preserve">Se acquisire un modello 3D di una grotta è ormai relativamente semplice, resta aperta una domanda meno discussa ma altrettanto rilevante: come farlo vedere a chi non è speleologo, o anche solo a un altro gruppo? Le soluzioni oggi disponibili coprono in parte questa esigenza, ma ciascuna porta con sé un compromesso.</w:t>
      </w:r>
    </w:p>
    <w:p>
      <w:pPr>
        <w:spacing w:after="200"/>
      </w:pPr>
      <w:r>
        <w:rPr>
          <w:b w:val="false"/>
          <w:bCs w:val="false"/>
          <w:i w:val="false"/>
          <w:iCs w:val="false"/>
        </w:rPr>
        <w:t xml:space="preserve">Piattaforme come Sketchfab permettono di pubblicare modelli 3D navigabili da browser, ma sono servizi commerciali di terze parti: i piani gratuiti impongono limiti di caricamento e dimensione dei file, mentre le funzionalità più avanzate richiedono un abbonamento. Soluzioni come Matterport offrono tour virtuali molto curati, adottati anche da alcune grotte turistiche, ma richiedono hardware e abbonamenti dedicati e restano pensate per la visita guidata più che per l'analisi tecnica. I visualizzatori di nuvole di punti come Potree offrono strumenti di misura ma richiedono competenze tecniche per essere messi online, mentre i software dedicati al dato speleologico vettoriale restano preziosi per l'analisi ma poco adatti alla divulgazione verso il grande pubblico.</w:t>
      </w:r>
    </w:p>
    <w:p>
      <w:pPr>
        <w:spacing w:after="200"/>
      </w:pPr>
      <w:r>
        <w:rPr>
          <w:b w:val="false"/>
          <w:bCs w:val="false"/>
          <w:i w:val="false"/>
          <w:iCs w:val="false"/>
        </w:rPr>
        <w:t xml:space="preserve">In comune, queste soluzioni condividono alcuni limiti: la dipendenza da piattaforme commerciali con costi e vincoli, l'assenza di una vera modalità di realtà virtuale immersiva, la mancanza di strumenti di misura e sezione integrati, una georeferenziazione debole rispetto alla posizione reale della cavità, e file spesso troppo pesanti per essere consultati agevolmente da una connessione da campo o in mobilità.</w:t>
      </w:r>
    </w:p>
    <w:p>
      <w:pPr>
        <w:pStyle w:val="Heading2"/>
        <w:spacing w:after="140" w:before="320"/>
      </w:pPr>
      <w:r>
        <w:t xml:space="preserve">3D Cave Viewer: un approccio diverso</w:t>
      </w:r>
    </w:p>
    <w:p>
      <w:pPr>
        <w:spacing w:after="200"/>
      </w:pPr>
      <w:r>
        <w:rPr>
          <w:b w:val="false"/>
          <w:bCs w:val="false"/>
          <w:i w:val="false"/>
          <w:iCs w:val="false"/>
        </w:rPr>
        <w:t xml:space="preserve">È da questo spazio scoperto che nasce 3D Cave Viewer. Non è un servizio a cui appoggiarsi, ma un'applicazione web open source che qualunque gruppo speleologico può installare sul proprio hosting e usare con il proprio nome. Non richiede alcuna installazione da parte di chi lo consulta: si apre da una mappa geolocalizzata delle cavità pubblicate e, con un click, si entra nel modello tridimensionale.</w:t>
      </w:r>
    </w:p>
    <w:p>
      <w:pPr>
        <w:spacing w:after="200"/>
      </w:pPr>
      <w:r>
        <w:rPr>
          <w:b w:val="false"/>
          <w:bCs w:val="false"/>
          <w:i w:val="false"/>
          <w:iCs w:val="false"/>
        </w:rPr>
        <w:t xml:space="preserve">L'esplorazione è pensata su tre livelli crescenti di immersività. La modalità orbitale permette di ruotare e osservare la cavità dall'esterno, come si farebbe con una maquette fisica. La modalità in prima persona porta letteralmente dentro la grotta, con un sistema di rilevamento delle collisioni che impedisce di attraversare le pareti e restituisce la sensazione reale dello spazio. La modalità in realtà virtuale, per chi dispone di un visore compatibile con lo standard WebXR, permette di muoversi nella cavità in scala 1:1, con un sistema di teleport per spostarsi rapidamente e una vignettatura che attenua il rischio di malessere da movimento.</w:t>
      </w:r>
    </w:p>
    <w:p>
      <w:pPr>
        <w:spacing w:after="200"/>
      </w:pPr>
      <w:r>
        <w:rPr>
          <w:b w:val="false"/>
          <w:bCs w:val="false"/>
          <w:i w:val="false"/>
          <w:iCs w:val="false"/>
        </w:rPr>
        <w:t xml:space="preserve">Accanto all'esplorazione, il visualizzatore mette a disposizione strumenti pensati per chi lavora sul campo: misurazioni tridimensionali con aggancio automatico ai vertici della mesh, esportabili in CSV; piani di sezione lungo i tre assi per osservare la struttura interna della cavità; annotazioni con etichette descrittive, salvate ed esportabili in formato JSON. L'applicazione funziona anche offline, una volta scaricato il modello, grazie alla tecnologia delle Progressive Web App: una caratteristica preziosa nelle zone montane dove la copertura di rete è scarsa o assente. L'interfaccia è disponibile in italiano, inglese, francese e spagnolo.</w:t>
      </w:r>
    </w:p>
    <w:p>
      <w:pPr>
        <w:spacing w:after="200"/>
      </w:pPr>
      <w:r>
        <w:rPr>
          <w:b w:val="false"/>
          <w:bCs w:val="false"/>
          <w:i w:val="false"/>
          <w:iCs w:val="false"/>
        </w:rPr>
        <w:t xml:space="preserve">La scelta tecnica più significativa riguarda però la licenza. Il codice è distribuito sotto licenza GNU GPL v3: qualunque gruppo speleologico, sezione CAI o istituzione può adottarlo gratuitamente, personalizzarlo con il proprio nome, i propri colori e i propri testi, e pubblicare i propri rilievi senza dipendere da strumenti professionali a pagamento, con il solo obbligo di citare l'autore originale. Il backend, scritto in PHP senza framework e senza alcun passaggio di compilazione, è pensato per girare su un comune hosting economico e per poter essere mantenuto anche da gruppi privi di un team di sviluppo dedicato.</w:t>
      </w:r>
    </w:p>
    <w:p>
      <w:pPr>
        <w:pStyle w:val="Heading2"/>
        <w:spacing w:after="140" w:before="320"/>
      </w:pPr>
      <w:r>
        <w:t xml:space="preserve">A chi si rivolge</w:t>
      </w:r>
    </w:p>
    <w:p>
      <w:pPr>
        <w:pStyle w:val="ListParagraph"/>
        <w:numPr>
          <w:ilvl w:val="0"/>
          <w:numId w:val="2"/>
        </w:numPr>
        <w:spacing w:after="120"/>
      </w:pPr>
      <w:r>
        <w:t xml:space="preserve">Gruppi speleologici e sezioni CAI, per archiviare e condividere i propri rilievi con un semplice link, riusando la piattaforma con il proprio nome.</w:t>
      </w:r>
    </w:p>
    <w:p>
      <w:pPr>
        <w:pStyle w:val="ListParagraph"/>
        <w:numPr>
          <w:ilvl w:val="0"/>
          <w:numId w:val="2"/>
        </w:numPr>
        <w:spacing w:after="120"/>
      </w:pPr>
      <w:r>
        <w:t xml:space="preserve">Ricercatori e geologi, per studiare morfologie ed effettuare misurazioni e sezioni senza bisogno di software CAD specialistici.</w:t>
      </w:r>
    </w:p>
    <w:p>
      <w:pPr>
        <w:pStyle w:val="ListParagraph"/>
        <w:numPr>
          <w:ilvl w:val="0"/>
          <w:numId w:val="2"/>
        </w:numPr>
        <w:spacing w:after="120"/>
      </w:pPr>
      <w:r>
        <w:t xml:space="preserve">Scuole e attività di divulgazione, per portare studenti e pubblico dentro una grotta, anche in realtà virtuale, senza rischi e senza attrezzatura.</w:t>
      </w:r>
    </w:p>
    <w:p>
      <w:pPr>
        <w:pStyle w:val="ListParagraph"/>
        <w:numPr>
          <w:ilvl w:val="0"/>
          <w:numId w:val="2"/>
        </w:numPr>
        <w:spacing w:after="120"/>
      </w:pPr>
      <w:r>
        <w:t xml:space="preserve">Stampa e comunicazione, per raccontare le esplorazioni con immagini, link condivisibili e anteprime social generate automaticamente dall'applicazione.</w:t>
      </w:r>
    </w:p>
    <w:p>
      <w:pPr>
        <w:spacing w:after="200"/>
      </w:pPr>
      <w:r>
        <w:rPr>
          <w:b w:val="false"/>
          <w:bCs w:val="false"/>
          <w:i w:val="false"/>
          <w:iCs w:val="false"/>
        </w:rPr>
        <w:t xml:space="preserve">3D Cave Viewer sarà presentato pubblicamente in occasione del raduno speleologico di Costacciaro, nel novembre 2026, quando il codice sorgente diventerà accessibile a tutti su GitHub. Fino ad allora il progetto è consultabile sul sito ufficiale 3dcaveviewer.com, dove sono già visitabili alcune cavità del territorio di Gubbio a titolo dimostrativo.</w:t>
      </w:r>
    </w:p>
    <w:p>
      <w:pPr>
        <w:pStyle w:val="Heading3"/>
        <w:spacing w:after="80" w:before="120"/>
      </w:pPr>
      <w:r>
        <w:t xml:space="preserve">Il progetto in numeri</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1400"/>
        <w:gridCol w:w="7760"/>
      </w:tblGrid>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modalità di esplorazione: orbitale, prima persona, realtà virtuale</w:t>
            </w:r>
          </w:p>
        </w:tc>
      </w:tr>
      <w:tr>
        <w:tc>
          <w:tcPr>
            <w:tcW w:type="dxa" w:w="1400"/>
            <w:shd w:fill="EDEFEF" w:color="auto" w:val="clear"/>
            <w:tcMar>
              <w:top w:type="dxa" w:w="80"/>
              <w:left w:type="dxa" w:w="100"/>
              <w:bottom w:type="dxa" w:w="80"/>
              <w:right w:type="dxa" w:w="100"/>
            </w:tcMar>
          </w:tcPr>
          <w:p>
            <w:r>
              <w:rPr>
                <w:b/>
                <w:bCs/>
              </w:rPr>
              <w:t xml:space="preserve">4</w:t>
            </w:r>
          </w:p>
        </w:tc>
        <w:tc>
          <w:tcPr>
            <w:tcW w:type="dxa" w:w="7760"/>
            <w:tcMar>
              <w:top w:type="dxa" w:w="80"/>
              <w:left w:type="dxa" w:w="100"/>
              <w:bottom w:type="dxa" w:w="80"/>
              <w:right w:type="dxa" w:w="100"/>
            </w:tcMar>
          </w:tcPr>
          <w:p>
            <w:r>
              <w:rPr>
                <w:b w:val="false"/>
                <w:bCs w:val="false"/>
              </w:rPr>
              <w:t xml:space="preserve">lingue dell'interfaccia: italiano, inglese, francese, spagnolo</w:t>
            </w:r>
          </w:p>
        </w:tc>
      </w:tr>
      <w:tr>
        <w:tc>
          <w:tcPr>
            <w:tcW w:type="dxa" w:w="1400"/>
            <w:shd w:fill="EDEFEF" w:color="auto" w:val="clear"/>
            <w:tcMar>
              <w:top w:type="dxa" w:w="80"/>
              <w:left w:type="dxa" w:w="100"/>
              <w:bottom w:type="dxa" w:w="80"/>
              <w:right w:type="dxa" w:w="100"/>
            </w:tcMar>
          </w:tcPr>
          <w:p>
            <w:r>
              <w:rPr>
                <w:b/>
                <w:bCs/>
              </w:rPr>
              <w:t xml:space="preserve">6</w:t>
            </w:r>
          </w:p>
        </w:tc>
        <w:tc>
          <w:tcPr>
            <w:tcW w:type="dxa" w:w="7760"/>
            <w:tcMar>
              <w:top w:type="dxa" w:w="80"/>
              <w:left w:type="dxa" w:w="100"/>
              <w:bottom w:type="dxa" w:w="80"/>
              <w:right w:type="dxa" w:w="100"/>
            </w:tcMar>
          </w:tcPr>
          <w:p>
            <w:r>
              <w:rPr>
                <w:b w:val="false"/>
                <w:bCs w:val="false"/>
              </w:rPr>
              <w:t xml:space="preserve">viste ortogonali predefinite del modello</w:t>
            </w:r>
          </w:p>
        </w:tc>
      </w:tr>
      <w:tr>
        <w:tc>
          <w:tcPr>
            <w:tcW w:type="dxa" w:w="1400"/>
            <w:shd w:fill="EDEFEF" w:color="auto" w:val="clear"/>
            <w:tcMar>
              <w:top w:type="dxa" w:w="80"/>
              <w:left w:type="dxa" w:w="100"/>
              <w:bottom w:type="dxa" w:w="80"/>
              <w:right w:type="dxa" w:w="100"/>
            </w:tcMar>
          </w:tcPr>
          <w:p>
            <w:r>
              <w:rPr>
                <w:b/>
                <w:bCs/>
              </w:rPr>
              <w:t xml:space="preserve">3</w:t>
            </w:r>
          </w:p>
        </w:tc>
        <w:tc>
          <w:tcPr>
            <w:tcW w:type="dxa" w:w="7760"/>
            <w:tcMar>
              <w:top w:type="dxa" w:w="80"/>
              <w:left w:type="dxa" w:w="100"/>
              <w:bottom w:type="dxa" w:w="80"/>
              <w:right w:type="dxa" w:w="100"/>
            </w:tcMar>
          </w:tcPr>
          <w:p>
            <w:r>
              <w:rPr>
                <w:b w:val="false"/>
                <w:bCs w:val="false"/>
              </w:rPr>
              <w:t xml:space="preserve">formati 3D supportati: GLB, GLTF, OBJ</w:t>
            </w:r>
          </w:p>
        </w:tc>
      </w:tr>
      <w:tr>
        <w:tc>
          <w:tcPr>
            <w:tcW w:type="dxa" w:w="1400"/>
            <w:shd w:fill="EDEFEF" w:color="auto" w:val="clear"/>
            <w:tcMar>
              <w:top w:type="dxa" w:w="80"/>
              <w:left w:type="dxa" w:w="100"/>
              <w:bottom w:type="dxa" w:w="80"/>
              <w:right w:type="dxa" w:w="100"/>
            </w:tcMar>
          </w:tcPr>
          <w:p>
            <w:r>
              <w:rPr>
                <w:b/>
                <w:bCs/>
              </w:rPr>
              <w:t xml:space="preserve">0</w:t>
            </w:r>
          </w:p>
        </w:tc>
        <w:tc>
          <w:tcPr>
            <w:tcW w:type="dxa" w:w="7760"/>
            <w:tcMar>
              <w:top w:type="dxa" w:w="80"/>
              <w:left w:type="dxa" w:w="100"/>
              <w:bottom w:type="dxa" w:w="80"/>
              <w:right w:type="dxa" w:w="100"/>
            </w:tcMar>
          </w:tcPr>
          <w:p>
            <w:r>
              <w:rPr>
                <w:b w:val="false"/>
                <w:bCs w:val="false"/>
              </w:rPr>
              <w:t xml:space="preserve">installazioni richieste per usarlo</w:t>
            </w:r>
          </w:p>
        </w:tc>
      </w:tr>
      <w:tr>
        <w:tc>
          <w:tcPr>
            <w:tcW w:type="dxa" w:w="1400"/>
            <w:shd w:fill="EDEFEF" w:color="auto" w:val="clear"/>
            <w:tcMar>
              <w:top w:type="dxa" w:w="80"/>
              <w:left w:type="dxa" w:w="100"/>
              <w:bottom w:type="dxa" w:w="80"/>
              <w:right w:type="dxa" w:w="100"/>
            </w:tcMar>
          </w:tcPr>
          <w:p>
            <w:r>
              <w:rPr>
                <w:b/>
                <w:bCs/>
              </w:rPr>
              <w:t xml:space="preserve">100%</w:t>
            </w:r>
          </w:p>
        </w:tc>
        <w:tc>
          <w:tcPr>
            <w:tcW w:type="dxa" w:w="7760"/>
            <w:tcMar>
              <w:top w:type="dxa" w:w="80"/>
              <w:left w:type="dxa" w:w="100"/>
              <w:bottom w:type="dxa" w:w="80"/>
              <w:right w:type="dxa" w:w="100"/>
            </w:tcMar>
          </w:tcPr>
          <w:p>
            <w:r>
              <w:rPr>
                <w:b w:val="false"/>
                <w:bCs w:val="false"/>
              </w:rPr>
              <w:t xml:space="preserve">codice open source, licenza GNU GPL v3</w:t>
            </w:r>
          </w:p>
        </w:tc>
      </w:tr>
    </w:tbl>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2026-07-27T21:16:40.433Z</dcterms:created>
  <dcterms:modified xsi:type="dcterms:W3CDTF">2026-07-27T21:16:40.433Z</dcterms:modified>
</cp:coreProperties>
</file>

<file path=docProps/custom.xml><?xml version="1.0" encoding="utf-8"?>
<Properties xmlns="http://schemas.openxmlformats.org/officeDocument/2006/custom-properties" xmlns:vt="http://schemas.openxmlformats.org/officeDocument/2006/docPropsVTypes"/>
</file>