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color w:val="5F8797"/>
        </w:rPr>
        <w:t xml:space="preserve">POUR DIFFUSION IMMÉDIATE</w:t>
      </w:r>
    </w:p>
    <w:p>
      <w:pPr>
        <w:pStyle w:val="Title"/>
        <w:spacing w:after="160"/>
      </w:pPr>
      <w:r>
        <w:t xml:space="preserve">Les cavités de Gubbio entrent dans le navigateur, en 3D et sans rien installer</w:t>
      </w:r>
    </w:p>
    <w:p>
      <w:pPr>
        <w:spacing w:after="280"/>
      </w:pPr>
      <w:r>
        <w:rPr>
          <w:i/>
          <w:iCs/>
        </w:rPr>
        <w:t xml:space="preserve">Un projet libre du groupe spéléologique du CAI Gubbio « Buio Verticale » rend explorables en ligne les relevés tridimensionnels de cavités, réalité virtuelle comprise.</w:t>
      </w:r>
    </w:p>
    <w:p>
      <w:pPr>
        <w:spacing w:after="200"/>
      </w:pPr>
      <w:r>
        <w:rPr>
          <w:b w:val="false"/>
          <w:bCs w:val="false"/>
          <w:i w:val="false"/>
          <w:iCs w:val="false"/>
        </w:rPr>
        <w:t xml:space="preserve">Gubbio, Italie, 2026 — Sous terre, on emporte lampes, cordes et instruments de relevé. Jusqu'ici, qui voulait découvrir une cavité sans y descendre devait se contenter de photographies ou de plans. Avec 3D Cave Viewer, le projet libre développé par Davide Brugnoni pour le groupe spéléologique Buio Verticale du CAI de Gubbio, ce n'est plus nécessaire : un navigateur suffit pour entrer dans une cavité réelle, s'y déplacer comme un spéléologue ou la vivre en réalité virtuelle avec un simple casque.</w:t>
      </w:r>
    </w:p>
    <w:p>
      <w:pPr>
        <w:spacing w:after="200"/>
      </w:pPr>
      <w:r>
        <w:rPr>
          <w:b w:val="false"/>
          <w:bCs w:val="false"/>
          <w:i w:val="false"/>
          <w:iCs w:val="false"/>
        </w:rPr>
        <w:t xml:space="preserve">Ces dernières années, la diffusion du capteur LiDAR sur iPhone et iPad Pro a mis le relevé tridimensionnel des cavités naturelles à la portée de tout groupe spéléologique : un smartphone et une application comme Scaniverse permettent d'obtenir en quelques minutes un modèle 3D qui aurait autrefois nécessité un matériel professionnel bien plus coûteux. Une étude publiée en 2025 dans le Journal of Archaeological Science a confirmé, dans une cavité espagnole, la fiabilité de cette approche pour la documentation spéléologique, avec toutefois les limites de portée propres à un capteur de smartphone face à un scanner laser professionnel.</w:t>
      </w:r>
    </w:p>
    <w:p>
      <w:pPr>
        <w:spacing w:after="200"/>
      </w:pPr>
      <w:r>
        <w:rPr>
          <w:b w:val="false"/>
          <w:bCs w:val="false"/>
          <w:i w:val="false"/>
          <w:iCs w:val="false"/>
        </w:rPr>
        <w:t xml:space="preserve">Le problème, s'il en est un, survient après : comment partager ces relevés avec qui n'est pas spéléologue, ou même avec un autre groupe ? Les plateformes disponibles aujourd'hui — de Sketchfab à Matterport, des visualiseurs de nuages de points aux logiciels de bureau spécialisés — répondent en partie à ce besoin, presque toujours à un prix : abonnements payants, fichiers trop lourds, aucun outil de mesure intégré, absence de véritable immersion en VR, difficulté à situer la cavité sur une carte.</w:t>
      </w:r>
    </w:p>
    <w:p>
      <w:pPr>
        <w:spacing w:after="200"/>
      </w:pPr>
      <w:r>
        <w:rPr>
          <w:b w:val="false"/>
          <w:bCs w:val="false"/>
          <w:i w:val="false"/>
          <w:iCs w:val="false"/>
        </w:rPr>
        <w:t xml:space="preserve">3D Cave Viewer est né pour combler cet espace. C'est une application web qui fonctionne dans n'importe quel navigateur, sans rien installer : elle s'ouvre depuis une carte géolocalisée des cavités et permet, en un clic, de charger le modèle 3D, avec le choix entre trois niveaux d'immersion — orbite, première personne avec détection des collisions, ou réalité virtuelle à l'échelle 1:1 avec un casque WebXR. Elle intègre des outils pensés pour le travail de terrain — mesures 3D avec accrochage automatique aux sommets, coupes selon les trois axes, annotations exportables — fonctionne hors ligne une fois le modèle téléchargé, et est disponible en quatre langues.</w:t>
      </w:r>
    </w:p>
    <w:p>
      <w:pPr>
        <w:spacing w:after="200"/>
      </w:pPr>
      <w:r>
        <w:rPr>
          <w:b w:val="false"/>
          <w:bCs w:val="false"/>
          <w:i w:val="false"/>
          <w:iCs w:val="false"/>
        </w:rPr>
        <w:t xml:space="preserve">Le choix technique le plus significatif concerne toutefois la licence. Le code est publié sous licence GNU GPL v3 : tout groupe spéléologique peut l'adopter gratuitement, le personnaliser avec son propre nom et ses propres couleurs, et publier ses propres relevés, en conservant la citation de l'auteur original. Le projet sera présenté officiellement lors du rassemblement spéléologique de Costacciaro, en novembre 2026, lorsque le dépôt deviendra accessible à tous sur GitHub.</w:t>
      </w:r>
    </w:p>
    <w:p>
      <w:pPr>
        <w:pBdr>
          <w:left w:val="single" w:color="5F8797" w:sz="12" w:space="8"/>
        </w:pBdr>
        <w:spacing w:after="120" w:before="120"/>
        <w:ind w:left="340"/>
      </w:pPr>
      <w:r>
        <w:rPr>
          <w:i/>
          <w:iCs/>
        </w:rPr>
        <w:t xml:space="preserve">« Nous nous sommes rendu compte que nous faisions tous des relevés avec l'iPhone, mais que nous n'arrivions pas à les partager de façon simple et intuitive, ni à les rendre publics pour les curieux qui ne sont pas spéléologues. »</w:t>
      </w:r>
      <w:r>
        <w:rPr>
          <w:b/>
          <w:bCs/>
        </w:rPr>
        <w:t xml:space="preserve">  — Davide Brugnoni, auteur du projet</w:t>
      </w:r>
    </w:p>
    <w:p>
      <w:pPr>
        <w:pStyle w:val="Heading3"/>
        <w:spacing w:after="80" w:before="120"/>
      </w:pPr>
      <w:r>
        <w:t xml:space="preserve">À propos de Buio Verticale</w:t>
      </w:r>
    </w:p>
    <w:p>
      <w:pPr>
        <w:spacing w:after="200"/>
      </w:pPr>
      <w:r>
        <w:rPr>
          <w:b w:val="false"/>
          <w:bCs w:val="false"/>
          <w:i w:val="false"/>
          <w:iCs w:val="false"/>
        </w:rPr>
        <w:t xml:space="preserve">Le groupe spéléologique Buio Verticale, affilié au CAI de Gubbio, est actif sur le territoire ombrien dans l'exploration, le relevé et la documentation des cavités naturelles et artificielles de la région.</w:t>
      </w:r>
    </w:p>
    <w:p>
      <w:pPr>
        <w:pStyle w:val="Heading3"/>
        <w:spacing w:after="80" w:before="120"/>
      </w:pPr>
      <w:r>
        <w:t xml:space="preserve">Fiche technique</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2600"/>
        <w:gridCol w:w="6560"/>
      </w:tblGrid>
      <w:tr>
        <w:tc>
          <w:tcPr>
            <w:tcW w:type="dxa" w:w="2600"/>
            <w:shd w:fill="EDEFEF" w:color="auto" w:val="clear"/>
            <w:tcMar>
              <w:top w:type="dxa" w:w="80"/>
              <w:left w:type="dxa" w:w="100"/>
              <w:bottom w:type="dxa" w:w="80"/>
              <w:right w:type="dxa" w:w="100"/>
            </w:tcMar>
          </w:tcPr>
          <w:p>
            <w:r>
              <w:rPr>
                <w:b/>
                <w:bCs/>
              </w:rPr>
              <w:t xml:space="preserve">Nom du projet</w:t>
            </w:r>
          </w:p>
        </w:tc>
        <w:tc>
          <w:tcPr>
            <w:tcW w:type="dxa" w:w="6560"/>
            <w:tcMar>
              <w:top w:type="dxa" w:w="80"/>
              <w:left w:type="dxa" w:w="100"/>
              <w:bottom w:type="dxa" w:w="80"/>
              <w:right w:type="dxa" w:w="100"/>
            </w:tcMar>
          </w:tcPr>
          <w:p>
            <w:r>
              <w:rPr>
                <w:b w:val="false"/>
                <w:bCs w:val="false"/>
              </w:rPr>
              <w:t xml:space="preserve">3D Cave Viewer</w:t>
            </w:r>
          </w:p>
        </w:tc>
      </w:tr>
      <w:tr>
        <w:tc>
          <w:tcPr>
            <w:tcW w:type="dxa" w:w="2600"/>
            <w:shd w:fill="EDEFEF" w:color="auto" w:val="clear"/>
            <w:tcMar>
              <w:top w:type="dxa" w:w="80"/>
              <w:left w:type="dxa" w:w="100"/>
              <w:bottom w:type="dxa" w:w="80"/>
              <w:right w:type="dxa" w:w="100"/>
            </w:tcMar>
          </w:tcPr>
          <w:p>
            <w:r>
              <w:rPr>
                <w:b/>
                <w:bCs/>
              </w:rPr>
              <w:t xml:space="preserve">Auteur</w:t>
            </w:r>
          </w:p>
        </w:tc>
        <w:tc>
          <w:tcPr>
            <w:tcW w:type="dxa" w:w="6560"/>
            <w:tcMar>
              <w:top w:type="dxa" w:w="80"/>
              <w:left w:type="dxa" w:w="100"/>
              <w:bottom w:type="dxa" w:w="80"/>
              <w:right w:type="dxa" w:w="100"/>
            </w:tcMar>
          </w:tcPr>
          <w:p>
            <w:r>
              <w:rPr>
                <w:b w:val="false"/>
                <w:bCs w:val="false"/>
              </w:rPr>
              <w:t xml:space="preserve">Davide Brugnoni</w:t>
            </w:r>
          </w:p>
        </w:tc>
      </w:tr>
      <w:tr>
        <w:tc>
          <w:tcPr>
            <w:tcW w:type="dxa" w:w="2600"/>
            <w:shd w:fill="EDEFEF" w:color="auto" w:val="clear"/>
            <w:tcMar>
              <w:top w:type="dxa" w:w="80"/>
              <w:left w:type="dxa" w:w="100"/>
              <w:bottom w:type="dxa" w:w="80"/>
              <w:right w:type="dxa" w:w="100"/>
            </w:tcMar>
          </w:tcPr>
          <w:p>
            <w:r>
              <w:rPr>
                <w:b/>
                <w:bCs/>
              </w:rPr>
              <w:t xml:space="preserve">Organisation</w:t>
            </w:r>
          </w:p>
        </w:tc>
        <w:tc>
          <w:tcPr>
            <w:tcW w:type="dxa" w:w="6560"/>
            <w:tcMar>
              <w:top w:type="dxa" w:w="80"/>
              <w:left w:type="dxa" w:w="100"/>
              <w:bottom w:type="dxa" w:w="80"/>
              <w:right w:type="dxa" w:w="100"/>
            </w:tcMar>
          </w:tcPr>
          <w:p>
            <w:r>
              <w:rPr>
                <w:b w:val="false"/>
                <w:bCs w:val="false"/>
              </w:rPr>
              <w:t xml:space="preserve">Groupe spéléologique Buio Verticale — CAI Gubbio</w:t>
            </w:r>
          </w:p>
        </w:tc>
      </w:tr>
      <w:tr>
        <w:tc>
          <w:tcPr>
            <w:tcW w:type="dxa" w:w="2600"/>
            <w:shd w:fill="EDEFEF" w:color="auto" w:val="clear"/>
            <w:tcMar>
              <w:top w:type="dxa" w:w="80"/>
              <w:left w:type="dxa" w:w="100"/>
              <w:bottom w:type="dxa" w:w="80"/>
              <w:right w:type="dxa" w:w="100"/>
            </w:tcMar>
          </w:tcPr>
          <w:p>
            <w:r>
              <w:rPr>
                <w:b/>
                <w:bCs/>
              </w:rPr>
              <w:t xml:space="preserve">Type</w:t>
            </w:r>
          </w:p>
        </w:tc>
        <w:tc>
          <w:tcPr>
            <w:tcW w:type="dxa" w:w="6560"/>
            <w:tcMar>
              <w:top w:type="dxa" w:w="80"/>
              <w:left w:type="dxa" w:w="100"/>
              <w:bottom w:type="dxa" w:w="80"/>
              <w:right w:type="dxa" w:w="100"/>
            </w:tcMar>
          </w:tcPr>
          <w:p>
            <w:r>
              <w:rPr>
                <w:b w:val="false"/>
                <w:bCs w:val="false"/>
              </w:rPr>
              <w:t xml:space="preserve">Application web progressive (PWA), libre</w:t>
            </w:r>
          </w:p>
        </w:tc>
      </w:tr>
      <w:tr>
        <w:tc>
          <w:tcPr>
            <w:tcW w:type="dxa" w:w="2600"/>
            <w:shd w:fill="EDEFEF" w:color="auto" w:val="clear"/>
            <w:tcMar>
              <w:top w:type="dxa" w:w="80"/>
              <w:left w:type="dxa" w:w="100"/>
              <w:bottom w:type="dxa" w:w="80"/>
              <w:right w:type="dxa" w:w="100"/>
            </w:tcMar>
          </w:tcPr>
          <w:p>
            <w:r>
              <w:rPr>
                <w:b/>
                <w:bCs/>
              </w:rPr>
              <w:t xml:space="preserve">Licence</w:t>
            </w:r>
          </w:p>
        </w:tc>
        <w:tc>
          <w:tcPr>
            <w:tcW w:type="dxa" w:w="6560"/>
            <w:tcMar>
              <w:top w:type="dxa" w:w="80"/>
              <w:left w:type="dxa" w:w="100"/>
              <w:bottom w:type="dxa" w:w="80"/>
              <w:right w:type="dxa" w:w="100"/>
            </w:tcMar>
          </w:tcPr>
          <w:p>
            <w:r>
              <w:rPr>
                <w:b w:val="false"/>
                <w:bCs w:val="false"/>
              </w:rPr>
              <w:t xml:space="preserve">GNU GPL v3 (https://www.gnu.org/licenses/gpl-3.0.html)</w:t>
            </w:r>
          </w:p>
        </w:tc>
      </w:tr>
      <w:tr>
        <w:tc>
          <w:tcPr>
            <w:tcW w:type="dxa" w:w="2600"/>
            <w:shd w:fill="EDEFEF" w:color="auto" w:val="clear"/>
            <w:tcMar>
              <w:top w:type="dxa" w:w="80"/>
              <w:left w:type="dxa" w:w="100"/>
              <w:bottom w:type="dxa" w:w="80"/>
              <w:right w:type="dxa" w:w="100"/>
            </w:tcMar>
          </w:tcPr>
          <w:p>
            <w:r>
              <w:rPr>
                <w:b/>
                <w:bCs/>
              </w:rPr>
              <w:t xml:space="preserve">Technologies</w:t>
            </w:r>
          </w:p>
        </w:tc>
        <w:tc>
          <w:tcPr>
            <w:tcW w:type="dxa" w:w="6560"/>
            <w:tcMar>
              <w:top w:type="dxa" w:w="80"/>
              <w:left w:type="dxa" w:w="100"/>
              <w:bottom w:type="dxa" w:w="80"/>
              <w:right w:type="dxa" w:w="100"/>
            </w:tcMar>
          </w:tcPr>
          <w:p>
            <w:r>
              <w:rPr>
                <w:b w:val="false"/>
                <w:bCs w:val="false"/>
              </w:rPr>
              <w:t xml:space="preserve">PHP, Three.js (WebGL), Leaflet/OpenStreetMap, WebXR</w:t>
            </w:r>
          </w:p>
        </w:tc>
      </w:tr>
      <w:tr>
        <w:tc>
          <w:tcPr>
            <w:tcW w:type="dxa" w:w="2600"/>
            <w:shd w:fill="EDEFEF" w:color="auto" w:val="clear"/>
            <w:tcMar>
              <w:top w:type="dxa" w:w="80"/>
              <w:left w:type="dxa" w:w="100"/>
              <w:bottom w:type="dxa" w:w="80"/>
              <w:right w:type="dxa" w:w="100"/>
            </w:tcMar>
          </w:tcPr>
          <w:p>
            <w:r>
              <w:rPr>
                <w:b/>
                <w:bCs/>
              </w:rPr>
              <w:t xml:space="preserve">Formats 3D pris en charge</w:t>
            </w:r>
          </w:p>
        </w:tc>
        <w:tc>
          <w:tcPr>
            <w:tcW w:type="dxa" w:w="6560"/>
            <w:tcMar>
              <w:top w:type="dxa" w:w="80"/>
              <w:left w:type="dxa" w:w="100"/>
              <w:bottom w:type="dxa" w:w="80"/>
              <w:right w:type="dxa" w:w="100"/>
            </w:tcMar>
          </w:tcPr>
          <w:p>
            <w:r>
              <w:rPr>
                <w:b w:val="false"/>
                <w:bCs w:val="false"/>
              </w:rPr>
              <w:t xml:space="preserve">GLB, GLTF, OBJ</w:t>
            </w:r>
          </w:p>
        </w:tc>
      </w:tr>
      <w:tr>
        <w:tc>
          <w:tcPr>
            <w:tcW w:type="dxa" w:w="2600"/>
            <w:shd w:fill="EDEFEF" w:color="auto" w:val="clear"/>
            <w:tcMar>
              <w:top w:type="dxa" w:w="80"/>
              <w:left w:type="dxa" w:w="100"/>
              <w:bottom w:type="dxa" w:w="80"/>
              <w:right w:type="dxa" w:w="100"/>
            </w:tcMar>
          </w:tcPr>
          <w:p>
            <w:r>
              <w:rPr>
                <w:b/>
                <w:bCs/>
              </w:rPr>
              <w:t xml:space="preserve">Langues de l'interface</w:t>
            </w:r>
          </w:p>
        </w:tc>
        <w:tc>
          <w:tcPr>
            <w:tcW w:type="dxa" w:w="6560"/>
            <w:tcMar>
              <w:top w:type="dxa" w:w="80"/>
              <w:left w:type="dxa" w:w="100"/>
              <w:bottom w:type="dxa" w:w="80"/>
              <w:right w:type="dxa" w:w="100"/>
            </w:tcMar>
          </w:tcPr>
          <w:p>
            <w:r>
              <w:rPr>
                <w:b w:val="false"/>
                <w:bCs w:val="false"/>
              </w:rPr>
              <w:t xml:space="preserve">Italien, anglais, français, espagnol</w:t>
            </w:r>
          </w:p>
        </w:tc>
      </w:tr>
      <w:tr>
        <w:tc>
          <w:tcPr>
            <w:tcW w:type="dxa" w:w="2600"/>
            <w:shd w:fill="EDEFEF" w:color="auto" w:val="clear"/>
            <w:tcMar>
              <w:top w:type="dxa" w:w="80"/>
              <w:left w:type="dxa" w:w="100"/>
              <w:bottom w:type="dxa" w:w="80"/>
              <w:right w:type="dxa" w:w="100"/>
            </w:tcMar>
          </w:tcPr>
          <w:p>
            <w:r>
              <w:rPr>
                <w:b/>
                <w:bCs/>
              </w:rPr>
              <w:t xml:space="preserve">Site web</w:t>
            </w:r>
          </w:p>
        </w:tc>
        <w:tc>
          <w:tcPr>
            <w:tcW w:type="dxa" w:w="6560"/>
            <w:tcMar>
              <w:top w:type="dxa" w:w="80"/>
              <w:left w:type="dxa" w:w="100"/>
              <w:bottom w:type="dxa" w:w="80"/>
              <w:right w:type="dxa" w:w="100"/>
            </w:tcMar>
          </w:tcPr>
          <w:p>
            <w:r>
              <w:rPr>
                <w:b w:val="false"/>
                <w:bCs w:val="false"/>
              </w:rPr>
              <w:t xml:space="preserve">https://3dcaveviewer.com</w:t>
            </w:r>
          </w:p>
        </w:tc>
      </w:tr>
      <w:tr>
        <w:tc>
          <w:tcPr>
            <w:tcW w:type="dxa" w:w="2600"/>
            <w:shd w:fill="EDEFEF" w:color="auto" w:val="clear"/>
            <w:tcMar>
              <w:top w:type="dxa" w:w="80"/>
              <w:left w:type="dxa" w:w="100"/>
              <w:bottom w:type="dxa" w:w="80"/>
              <w:right w:type="dxa" w:w="100"/>
            </w:tcMar>
          </w:tcPr>
          <w:p>
            <w:r>
              <w:rPr>
                <w:b/>
                <w:bCs/>
              </w:rPr>
              <w:t xml:space="preserve">Dépôt</w:t>
            </w:r>
          </w:p>
        </w:tc>
        <w:tc>
          <w:tcPr>
            <w:tcW w:type="dxa" w:w="6560"/>
            <w:tcMar>
              <w:top w:type="dxa" w:w="80"/>
              <w:left w:type="dxa" w:w="100"/>
              <w:bottom w:type="dxa" w:w="80"/>
              <w:right w:type="dxa" w:w="100"/>
            </w:tcMar>
          </w:tcPr>
          <w:p>
            <w:r>
              <w:rPr>
                <w:b w:val="false"/>
                <w:bCs w:val="false"/>
              </w:rPr>
              <w:t xml:space="preserve">github.com/davide-brugnoni/3DCaveViewer (accessible à partir du 1er novembre 2026)</w:t>
            </w:r>
          </w:p>
        </w:tc>
      </w:tr>
    </w:tbl>
    <w:p>
      <w:pPr>
        <w:spacing w:after="200"/>
      </w:pPr>
    </w:p>
    <w:p>
      <w:pPr>
        <w:pStyle w:val="Heading3"/>
        <w:spacing w:after="80" w:before="120"/>
      </w:pPr>
      <w:r>
        <w:t xml:space="preserve">Pour la presse</w:t>
      </w:r>
    </w:p>
    <w:p>
      <w:pPr>
        <w:spacing w:after="200"/>
      </w:pPr>
      <w:r>
        <w:rPr>
          <w:b w:val="false"/>
          <w:bCs w:val="false"/>
          <w:i w:val="false"/>
          <w:iCs w:val="false"/>
        </w:rPr>
        <w:t xml:space="preserve">Pour toute interview, image en haute résolution ou démonstration du visualiseur, contactez l'auteur par email : davide.brugnoni@gmail.com. Les visuels et captures d'écran peuvent être générés directement depuis l'application, pour n'importe quelle cavité publiée.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5" w:hanging="283"/>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2026-07-27T21:16:40.467Z</dcterms:created>
  <dcterms:modified xsi:type="dcterms:W3CDTF">2026-07-27T21:16:40.467Z</dcterms:modified>
</cp:coreProperties>
</file>

<file path=docProps/custom.xml><?xml version="1.0" encoding="utf-8"?>
<Properties xmlns="http://schemas.openxmlformats.org/officeDocument/2006/custom-properties" xmlns:vt="http://schemas.openxmlformats.org/officeDocument/2006/docPropsVTypes"/>
</file>